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1554480</wp:posOffset>
            </wp:positionV>
            <wp:extent cx="4585970" cy="1551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85970" cy="1551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right"/>
        <w:ind w:right="2639"/>
        <w:spacing w:after="0"/>
        <w:rPr>
          <w:sz w:val="20"/>
          <w:szCs w:val="20"/>
          <w:color w:val="auto"/>
        </w:rPr>
      </w:pPr>
      <w:r>
        <w:rPr>
          <w:rFonts w:ascii="Times New Roman" w:cs="Times New Roman" w:eastAsia="Times New Roman" w:hAnsi="Times New Roman"/>
          <w:sz w:val="43"/>
          <w:szCs w:val="43"/>
          <w:b w:val="1"/>
          <w:bCs w:val="1"/>
          <w:color w:val="auto"/>
        </w:rPr>
        <w:t>2025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(Mark One)</w:t>
      </w:r>
    </w:p>
    <w:p>
      <w:pPr>
        <w:spacing w:after="0" w:line="3" w:lineRule="exact"/>
        <w:rPr>
          <w:sz w:val="20"/>
          <w:szCs w:val="20"/>
          <w:color w:val="auto"/>
        </w:rPr>
      </w:pPr>
    </w:p>
    <w:p>
      <w:pPr>
        <w:ind w:left="4100" w:right="1500" w:hanging="2585"/>
        <w:spacing w:after="0" w:line="303" w:lineRule="auto"/>
        <w:tabs>
          <w:tab w:leader="none" w:pos="18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3" w:lineRule="exact"/>
        <w:rPr>
          <w:sz w:val="20"/>
          <w:szCs w:val="20"/>
          <w:color w:val="auto"/>
        </w:rPr>
      </w:pPr>
    </w:p>
    <w:p>
      <w:pPr>
        <w:ind w:left="1180" w:hanging="288"/>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41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 to ____</w:t>
      </w:r>
    </w:p>
    <w:p>
      <w:pPr>
        <w:spacing w:after="0" w:line="42" w:lineRule="exact"/>
        <w:rPr>
          <w:rFonts w:ascii="MS PGothic" w:cs="MS PGothic" w:eastAsia="MS PGothic" w:hAnsi="MS PGothic"/>
          <w:sz w:val="18"/>
          <w:szCs w:val="18"/>
          <w:color w:val="auto"/>
        </w:rPr>
      </w:pPr>
    </w:p>
    <w:p>
      <w:pPr>
        <w:ind w:left="45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No. 000-25826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HARMONIC INC.</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77-0201147</w:t>
      </w:r>
    </w:p>
    <w:p>
      <w:pPr>
        <w:spacing w:after="0" w:line="43" w:lineRule="exact"/>
        <w:rPr>
          <w:sz w:val="20"/>
          <w:szCs w:val="20"/>
          <w:color w:val="auto"/>
        </w:rPr>
      </w:pPr>
    </w:p>
    <w:p>
      <w:pPr>
        <w:sectPr>
          <w:pgSz w:w="11900" w:h="16838" w:orient="portrait"/>
          <w:cols w:equalWidth="0" w:num="2">
            <w:col w:w="7280" w:space="720"/>
            <w:col w:w="3240"/>
          </w:cols>
          <w:pgMar w:left="320" w:top="117" w:right="33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31" w:lineRule="exact"/>
        <w:rPr>
          <w:sz w:val="20"/>
          <w:szCs w:val="20"/>
          <w:color w:val="auto"/>
        </w:rPr>
      </w:pPr>
    </w:p>
    <w:p>
      <w:pPr>
        <w:sectPr>
          <w:pgSz w:w="11900" w:h="16838" w:orient="portrait"/>
          <w:cols w:equalWidth="0" w:num="2">
            <w:col w:w="7260" w:space="720"/>
            <w:col w:w="3260"/>
          </w:cols>
          <w:pgMar w:left="320" w:top="117"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2" w:lineRule="exact"/>
        <w:rPr>
          <w:sz w:val="20"/>
          <w:szCs w:val="20"/>
          <w:color w:val="auto"/>
        </w:rPr>
      </w:pPr>
    </w:p>
    <w:p>
      <w:pPr>
        <w:sectPr>
          <w:pgSz w:w="11900" w:h="16838" w:orient="portrait"/>
          <w:cols w:equalWidth="0" w:num="2">
            <w:col w:w="7220" w:space="720"/>
            <w:col w:w="3300"/>
          </w:cols>
          <w:pgMar w:left="320" w:top="1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2590 Orchard Parkway</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Jose, CA 95131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(408) 542-2500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jc w:val="center"/>
              <w:ind w:left="76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2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tcPr>
          <w:p>
            <w:pPr>
              <w:jc w:val="center"/>
              <w:ind w:left="765"/>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HLIT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20" w:type="dxa"/>
            <w:vAlign w:val="bottom"/>
            <w:tcBorders>
              <w:top w:val="single" w:sz="8" w:color="auto"/>
            </w:tcBorders>
          </w:tcPr>
          <w:p>
            <w:pPr>
              <w:jc w:val="center"/>
              <w:ind w:right="362"/>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6"/>
                <w:szCs w:val="16"/>
                <w:color w:val="auto"/>
              </w:rPr>
              <w:t>Global Select Market</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7600" w:type="dxa"/>
            <w:vAlign w:val="bottom"/>
            <w:gridSpan w:val="8"/>
          </w:tcPr>
          <w:p>
            <w:pPr>
              <w:jc w:val="center"/>
              <w:ind w:right="3562"/>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500" w:type="dxa"/>
            <w:vAlign w:val="bottom"/>
            <w:gridSpan w:val="3"/>
          </w:tcPr>
          <w:p>
            <w:pPr>
              <w:spacing w:after="0"/>
              <w:rPr>
                <w:sz w:val="5"/>
                <w:szCs w:val="5"/>
                <w:color w:val="auto"/>
              </w:rPr>
            </w:pPr>
          </w:p>
        </w:tc>
        <w:tc>
          <w:tcPr>
            <w:tcW w:w="2240" w:type="dxa"/>
            <w:vAlign w:val="bottom"/>
            <w:tcBorders>
              <w:bottom w:val="single" w:sz="8" w:color="auto"/>
            </w:tcBorders>
            <w:gridSpan w:val="3"/>
          </w:tcPr>
          <w:p>
            <w:pPr>
              <w:spacing w:after="0"/>
              <w:rPr>
                <w:sz w:val="5"/>
                <w:szCs w:val="5"/>
                <w:color w:val="auto"/>
              </w:rPr>
            </w:pPr>
          </w:p>
        </w:tc>
        <w:tc>
          <w:tcPr>
            <w:tcW w:w="480" w:type="dxa"/>
            <w:vAlign w:val="bottom"/>
            <w:gridSpan w:val="2"/>
          </w:tcPr>
          <w:p>
            <w:pPr>
              <w:spacing w:after="0"/>
              <w:rPr>
                <w:sz w:val="5"/>
                <w:szCs w:val="5"/>
                <w:color w:val="auto"/>
              </w:rPr>
            </w:pPr>
          </w:p>
        </w:tc>
        <w:tc>
          <w:tcPr>
            <w:tcW w:w="4020" w:type="dxa"/>
            <w:vAlign w:val="bottom"/>
            <w:vMerge w:val="restart"/>
          </w:tcPr>
          <w:p>
            <w:pPr>
              <w:ind w:left="6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5"/>
        </w:trPr>
        <w:tc>
          <w:tcPr>
            <w:tcW w:w="7220" w:type="dxa"/>
            <w:vAlign w:val="bottom"/>
            <w:gridSpan w:val="8"/>
          </w:tcPr>
          <w:p>
            <w:pPr>
              <w:ind w:left="38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80"/>
        <w:spacing w:after="0" w:line="161" w:lineRule="exact"/>
        <w:tabs>
          <w:tab w:leader="none" w:pos="7520" w:val="left"/>
          <w:tab w:leader="none" w:pos="810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Exchange Act.</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42" w:lineRule="exact"/>
        <w:rPr>
          <w:sz w:val="20"/>
          <w:szCs w:val="20"/>
          <w:color w:val="auto"/>
        </w:rPr>
      </w:pPr>
    </w:p>
    <w:p>
      <w:pPr>
        <w:ind w:right="4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0"/>
          <w:szCs w:val="20"/>
          <w:color w:val="auto"/>
        </w:rPr>
      </w:pPr>
    </w:p>
    <w:p>
      <w:pPr>
        <w:ind w:right="220" w:firstLine="37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1" w:lineRule="exact"/>
        <w:rPr>
          <w:sz w:val="20"/>
          <w:szCs w:val="20"/>
          <w:color w:val="auto"/>
        </w:rPr>
      </w:pPr>
    </w:p>
    <w:p>
      <w:pPr>
        <w:ind w:right="20" w:firstLine="37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820" w:type="dxa"/>
        <w:tblCellMar>
          <w:top w:w="0" w:type="dxa"/>
          <w:left w:w="0" w:type="dxa"/>
          <w:bottom w:w="0" w:type="dxa"/>
          <w:right w:w="0" w:type="dxa"/>
        </w:tblCellMar>
      </w:tblPr>
      <w:tr>
        <w:trPr>
          <w:trHeight w:val="159"/>
        </w:trPr>
        <w:tc>
          <w:tcPr>
            <w:tcW w:w="198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Large accelerated filer</w:t>
            </w:r>
          </w:p>
        </w:tc>
        <w:tc>
          <w:tcPr>
            <w:tcW w:w="6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Non-accelerated filer</w:t>
            </w:r>
          </w:p>
        </w:tc>
        <w:tc>
          <w:tcPr>
            <w:tcW w:w="6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Emerging growth company</w:t>
            </w:r>
          </w:p>
        </w:tc>
        <w:tc>
          <w:tcPr>
            <w:tcW w:w="6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18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ind w:right="18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ind w:right="140" w:firstLine="374"/>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ind w:right="220" w:firstLine="374"/>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ind w:right="48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ind w:left="380"/>
        <w:spacing w:after="0" w:line="161" w:lineRule="exact"/>
        <w:tabs>
          <w:tab w:leader="none" w:pos="7040" w:val="left"/>
          <w:tab w:leader="none" w:pos="7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highlight w:val="black"/>
        </w:rPr>
        <w:t>☒</w:t>
      </w:r>
    </w:p>
    <w:p>
      <w:pPr>
        <w:spacing w:after="0" w:line="42" w:lineRule="exact"/>
        <w:rPr>
          <w:sz w:val="20"/>
          <w:szCs w:val="20"/>
          <w:color w:val="auto"/>
        </w:rPr>
      </w:pPr>
    </w:p>
    <w:p>
      <w:pPr>
        <w:ind w:right="280" w:firstLine="374"/>
        <w:spacing w:after="0" w:line="245" w:lineRule="auto"/>
        <w:rPr>
          <w:sz w:val="20"/>
          <w:szCs w:val="20"/>
          <w:color w:val="auto"/>
        </w:rPr>
      </w:pPr>
      <w:r>
        <w:rPr>
          <w:rFonts w:ascii="Times New Roman" w:cs="Times New Roman" w:eastAsia="Times New Roman" w:hAnsi="Times New Roman"/>
          <w:sz w:val="14"/>
          <w:szCs w:val="14"/>
          <w:color w:val="auto"/>
        </w:rPr>
        <w:t>Based on the reported closing sale price of the Common Stock on The Nasdaq Global Select Market on June 27, 2025, the aggregate market value of the voting Common Stock held by non-affiliates of the registrant was approximately $654.6 million.</w:t>
      </w:r>
    </w:p>
    <w:p>
      <w:pPr>
        <w:spacing w:after="0" w:line="1" w:lineRule="exact"/>
        <w:rPr>
          <w:sz w:val="20"/>
          <w:szCs w:val="20"/>
          <w:color w:val="auto"/>
        </w:rPr>
      </w:pPr>
    </w:p>
    <w:p>
      <w:pPr>
        <w:ind w:right="60" w:firstLine="374"/>
        <w:spacing w:after="0" w:line="250" w:lineRule="auto"/>
        <w:rPr>
          <w:sz w:val="20"/>
          <w:szCs w:val="20"/>
          <w:color w:val="auto"/>
        </w:rPr>
      </w:pPr>
      <w:r>
        <w:rPr>
          <w:rFonts w:ascii="Times New Roman" w:cs="Times New Roman" w:eastAsia="Times New Roman" w:hAnsi="Times New Roman"/>
          <w:sz w:val="14"/>
          <w:szCs w:val="14"/>
          <w:color w:val="auto"/>
        </w:rPr>
        <w:t>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February 19, 2026, there were 110,242,356 shares of the Registrant’s Common Stock, $0.001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4"/>
          <w:szCs w:val="14"/>
          <w:color w:val="auto"/>
        </w:rPr>
        <w:t>Portions of the Proxy Statement for the Registrant’s 2026 Annual Meeting of Stockholders (which will be filed with the Securities and Exchange Commission within 120 days of the end of the fiscal year ended December 31, 2025)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885"/>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1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HARMONIC INC.</w:t>
            </w:r>
          </w:p>
        </w:tc>
      </w:tr>
      <w:tr>
        <w:trPr>
          <w:trHeight w:val="364"/>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1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351"/>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60" w:type="dxa"/>
            <w:vAlign w:val="bottom"/>
            <w:gridSpan w:val="1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540"/>
        </w:trPr>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4"/>
          </w:tcPr>
          <w:p>
            <w:pPr>
              <w:jc w:val="center"/>
              <w:ind w:right="3840"/>
              <w:spacing w:after="0"/>
              <w:rPr>
                <w:sz w:val="20"/>
                <w:szCs w:val="20"/>
                <w:color w:val="auto"/>
              </w:rPr>
            </w:pPr>
            <w:r>
              <w:rPr>
                <w:rFonts w:ascii="Times New Roman" w:cs="Times New Roman" w:eastAsia="Times New Roman" w:hAnsi="Times New Roman"/>
                <w:sz w:val="18"/>
                <w:szCs w:val="18"/>
                <w:b w:val="1"/>
                <w:bCs w:val="1"/>
                <w:color w:val="0000FF"/>
                <w:w w:val="99"/>
              </w:rPr>
              <w:t>PART I</w:t>
            </w: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21"/>
                <w:szCs w:val="21"/>
                <w:color w:val="auto"/>
              </w:rPr>
            </w:pPr>
          </w:p>
        </w:tc>
        <w:tc>
          <w:tcPr>
            <w:tcW w:w="39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20" w:type="dxa"/>
            <w:vAlign w:val="bottom"/>
          </w:tcPr>
          <w:p>
            <w:pPr>
              <w:spacing w:after="0"/>
              <w:rPr>
                <w:sz w:val="21"/>
                <w:szCs w:val="21"/>
                <w:color w:val="auto"/>
              </w:rPr>
            </w:pPr>
          </w:p>
        </w:tc>
        <w:tc>
          <w:tcPr>
            <w:tcW w:w="28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CYBER SECURITY</w:t>
            </w:r>
          </w:p>
        </w:tc>
        <w:tc>
          <w:tcPr>
            <w:tcW w:w="5520" w:type="dxa"/>
            <w:vAlign w:val="bottom"/>
            <w:gridSpan w:val="17"/>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21"/>
                <w:szCs w:val="21"/>
                <w:color w:val="auto"/>
              </w:rPr>
            </w:pPr>
          </w:p>
        </w:tc>
        <w:tc>
          <w:tcPr>
            <w:tcW w:w="1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PROPERTIES</w:t>
            </w:r>
          </w:p>
        </w:tc>
        <w:tc>
          <w:tcPr>
            <w:tcW w:w="20" w:type="dxa"/>
            <w:vAlign w:val="bottom"/>
            <w:tcBorders>
              <w:top w:val="single" w:sz="8" w:color="0000FF"/>
              <w:bottom w:val="single" w:sz="8" w:color="0000EE"/>
            </w:tcBorders>
          </w:tcPr>
          <w:p>
            <w:pPr>
              <w:spacing w:after="0"/>
              <w:rPr>
                <w:sz w:val="21"/>
                <w:szCs w:val="21"/>
                <w:color w:val="auto"/>
              </w:rPr>
            </w:pPr>
          </w:p>
        </w:tc>
        <w:tc>
          <w:tcPr>
            <w:tcW w:w="440" w:type="dxa"/>
            <w:vAlign w:val="bottom"/>
            <w:tcBorders>
              <w:top w:val="single" w:sz="8" w:color="0000FF"/>
            </w:tcBorders>
            <w:gridSpan w:val="4"/>
          </w:tcPr>
          <w:p>
            <w:pPr>
              <w:spacing w:after="0"/>
              <w:rPr>
                <w:sz w:val="21"/>
                <w:szCs w:val="21"/>
                <w:color w:val="auto"/>
              </w:rPr>
            </w:pPr>
          </w:p>
        </w:tc>
        <w:tc>
          <w:tcPr>
            <w:tcW w:w="6840" w:type="dxa"/>
            <w:vAlign w:val="bottom"/>
            <w:gridSpan w:val="25"/>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21"/>
                <w:szCs w:val="21"/>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40" w:type="dxa"/>
            <w:vAlign w:val="bottom"/>
            <w:tcBorders>
              <w:bottom w:val="single" w:sz="8" w:color="0000EE"/>
            </w:tcBorders>
          </w:tcPr>
          <w:p>
            <w:pPr>
              <w:spacing w:after="0"/>
              <w:rPr>
                <w:sz w:val="21"/>
                <w:szCs w:val="21"/>
                <w:color w:val="auto"/>
              </w:rPr>
            </w:pPr>
          </w:p>
        </w:tc>
        <w:tc>
          <w:tcPr>
            <w:tcW w:w="6440" w:type="dxa"/>
            <w:vAlign w:val="bottom"/>
            <w:gridSpan w:val="23"/>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w:t>
            </w:r>
          </w:p>
        </w:tc>
      </w:tr>
      <w:tr>
        <w:trPr>
          <w:trHeight w:val="250"/>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60" w:type="dxa"/>
            <w:vAlign w:val="bottom"/>
            <w:gridSpan w:val="15"/>
          </w:tcPr>
          <w:p>
            <w:pPr>
              <w:jc w:val="center"/>
              <w:ind w:right="38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tcPr>
          <w:p>
            <w:pPr>
              <w:spacing w:after="0"/>
              <w:rPr>
                <w:sz w:val="21"/>
                <w:szCs w:val="21"/>
                <w:color w:val="auto"/>
              </w:rPr>
            </w:pPr>
          </w:p>
        </w:tc>
        <w:tc>
          <w:tcPr>
            <w:tcW w:w="8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r>
      <w:tr>
        <w:trPr>
          <w:trHeight w:val="196"/>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PURCHASES OF EQUITY SECURITIES</w:t>
            </w:r>
          </w:p>
        </w:tc>
        <w:tc>
          <w:tcPr>
            <w:tcW w:w="5260" w:type="dxa"/>
            <w:vAlign w:val="bottom"/>
            <w:gridSpan w:val="16"/>
          </w:tcPr>
          <w:p>
            <w:pPr>
              <w:spacing w:after="0"/>
              <w:rPr>
                <w:sz w:val="17"/>
                <w:szCs w:val="17"/>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[RESERVED]</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tcPr>
          <w:p>
            <w:pPr>
              <w:spacing w:after="0"/>
              <w:rPr>
                <w:sz w:val="21"/>
                <w:szCs w:val="21"/>
                <w:color w:val="auto"/>
              </w:rPr>
            </w:pPr>
          </w:p>
        </w:tc>
        <w:tc>
          <w:tcPr>
            <w:tcW w:w="78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520" w:type="dxa"/>
            <w:vAlign w:val="bottom"/>
            <w:gridSpan w:val="3"/>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OPERATIONS</w:t>
            </w:r>
          </w:p>
        </w:tc>
        <w:tc>
          <w:tcPr>
            <w:tcW w:w="20" w:type="dxa"/>
            <w:vAlign w:val="bottom"/>
            <w:tcBorders>
              <w:bottom w:val="single" w:sz="8" w:color="0000EE"/>
            </w:tcBorders>
          </w:tcPr>
          <w:p>
            <w:pPr>
              <w:spacing w:after="0"/>
              <w:rPr>
                <w:sz w:val="17"/>
                <w:szCs w:val="17"/>
                <w:color w:val="auto"/>
              </w:rPr>
            </w:pPr>
          </w:p>
        </w:tc>
        <w:tc>
          <w:tcPr>
            <w:tcW w:w="7220" w:type="dxa"/>
            <w:vAlign w:val="bottom"/>
            <w:gridSpan w:val="27"/>
          </w:tcPr>
          <w:p>
            <w:pPr>
              <w:spacing w:after="0"/>
              <w:rPr>
                <w:sz w:val="17"/>
                <w:szCs w:val="17"/>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tcPr>
          <w:p>
            <w:pPr>
              <w:spacing w:after="0"/>
              <w:rPr>
                <w:sz w:val="21"/>
                <w:szCs w:val="21"/>
                <w:color w:val="auto"/>
              </w:rPr>
            </w:pPr>
          </w:p>
        </w:tc>
        <w:tc>
          <w:tcPr>
            <w:tcW w:w="62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160" w:type="dxa"/>
            <w:vAlign w:val="bottom"/>
            <w:gridSpan w:val="6"/>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tcPr>
          <w:p>
            <w:pPr>
              <w:spacing w:after="0"/>
              <w:rPr>
                <w:sz w:val="21"/>
                <w:szCs w:val="21"/>
                <w:color w:val="auto"/>
              </w:rPr>
            </w:pPr>
          </w:p>
        </w:tc>
        <w:tc>
          <w:tcPr>
            <w:tcW w:w="80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360" w:type="dxa"/>
            <w:vAlign w:val="bottom"/>
            <w:gridSpan w:val="2"/>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DISCLOSURE</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20" w:type="dxa"/>
            <w:vAlign w:val="bottom"/>
          </w:tcPr>
          <w:p>
            <w:pPr>
              <w:spacing w:after="0"/>
              <w:rPr>
                <w:sz w:val="21"/>
                <w:szCs w:val="21"/>
                <w:color w:val="auto"/>
              </w:rPr>
            </w:pPr>
          </w:p>
        </w:tc>
        <w:tc>
          <w:tcPr>
            <w:tcW w:w="2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5760" w:type="dxa"/>
            <w:vAlign w:val="bottom"/>
            <w:gridSpan w:val="18"/>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EE"/>
            </w:tcBorders>
            <w:gridSpan w:val="9"/>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9C.</w:t>
            </w:r>
          </w:p>
        </w:tc>
        <w:tc>
          <w:tcPr>
            <w:tcW w:w="20" w:type="dxa"/>
            <w:vAlign w:val="bottom"/>
          </w:tcPr>
          <w:p>
            <w:pPr>
              <w:spacing w:after="0"/>
              <w:rPr>
                <w:sz w:val="21"/>
                <w:szCs w:val="21"/>
                <w:color w:val="auto"/>
              </w:rPr>
            </w:pPr>
          </w:p>
        </w:tc>
        <w:tc>
          <w:tcPr>
            <w:tcW w:w="69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1380" w:type="dxa"/>
            <w:vAlign w:val="bottom"/>
            <w:gridSpan w:val="5"/>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60" w:type="dxa"/>
            <w:vAlign w:val="bottom"/>
            <w:gridSpan w:val="15"/>
          </w:tcPr>
          <w:p>
            <w:pPr>
              <w:jc w:val="center"/>
              <w:ind w:right="3760"/>
              <w:spacing w:after="0"/>
              <w:rPr>
                <w:sz w:val="20"/>
                <w:szCs w:val="20"/>
                <w:color w:val="auto"/>
              </w:rPr>
            </w:pPr>
            <w:r>
              <w:rPr>
                <w:rFonts w:ascii="Times New Roman" w:cs="Times New Roman" w:eastAsia="Times New Roman" w:hAnsi="Times New Roman"/>
                <w:sz w:val="18"/>
                <w:szCs w:val="18"/>
                <w:b w:val="1"/>
                <w:bCs w:val="1"/>
                <w:color w:val="0000FF"/>
                <w:w w:val="93"/>
              </w:rPr>
              <w:t>PART III</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right w:val="single" w:sz="8" w:color="0000EE"/>
            </w:tcBorders>
            <w:gridSpan w:val="4"/>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21"/>
                <w:szCs w:val="21"/>
                <w:color w:val="auto"/>
              </w:rPr>
            </w:pPr>
          </w:p>
        </w:tc>
        <w:tc>
          <w:tcPr>
            <w:tcW w:w="58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2540" w:type="dxa"/>
            <w:vAlign w:val="bottom"/>
            <w:gridSpan w:val="7"/>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21"/>
                <w:szCs w:val="21"/>
                <w:color w:val="auto"/>
              </w:rPr>
            </w:pPr>
          </w:p>
        </w:tc>
        <w:tc>
          <w:tcPr>
            <w:tcW w:w="2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1"/>
                <w:szCs w:val="21"/>
                <w:color w:val="auto"/>
              </w:rPr>
            </w:pPr>
          </w:p>
        </w:tc>
        <w:tc>
          <w:tcPr>
            <w:tcW w:w="5880" w:type="dxa"/>
            <w:vAlign w:val="bottom"/>
            <w:gridSpan w:val="19"/>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21"/>
                <w:szCs w:val="21"/>
                <w:color w:val="auto"/>
              </w:rPr>
            </w:pPr>
          </w:p>
        </w:tc>
        <w:tc>
          <w:tcPr>
            <w:tcW w:w="81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260" w:type="dxa"/>
            <w:vAlign w:val="bottom"/>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STOCKHOLDER MATTERS</w:t>
            </w: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right w:val="single" w:sz="8" w:color="0000FF"/>
            </w:tcBorders>
            <w:gridSpan w:val="9"/>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21"/>
                <w:szCs w:val="21"/>
                <w:color w:val="auto"/>
              </w:rPr>
            </w:pPr>
          </w:p>
        </w:tc>
        <w:tc>
          <w:tcPr>
            <w:tcW w:w="77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gridSpan w:val="4"/>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Borders>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3740" w:type="dxa"/>
            <w:vAlign w:val="bottom"/>
            <w:gridSpan w:val="9"/>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21"/>
                <w:szCs w:val="21"/>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ITEM 16.</w:t>
            </w:r>
          </w:p>
        </w:tc>
        <w:tc>
          <w:tcPr>
            <w:tcW w:w="20" w:type="dxa"/>
            <w:vAlign w:val="bottom"/>
          </w:tcPr>
          <w:p>
            <w:pPr>
              <w:spacing w:after="0"/>
              <w:rPr>
                <w:sz w:val="21"/>
                <w:szCs w:val="21"/>
                <w:color w:val="auto"/>
              </w:rPr>
            </w:pPr>
          </w:p>
        </w:tc>
        <w:tc>
          <w:tcPr>
            <w:tcW w:w="4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3900" w:type="dxa"/>
            <w:vAlign w:val="bottom"/>
            <w:gridSpan w:val="12"/>
          </w:tcPr>
          <w:p>
            <w:pPr>
              <w:spacing w:after="0"/>
              <w:rPr>
                <w:sz w:val="21"/>
                <w:szCs w:val="21"/>
                <w:color w:val="auto"/>
              </w:rPr>
            </w:pPr>
          </w:p>
        </w:tc>
      </w:tr>
      <w:tr>
        <w:trPr>
          <w:trHeight w:val="250"/>
        </w:trPr>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668"/>
        </w:trPr>
        <w:tc>
          <w:tcPr>
            <w:tcW w:w="6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21"/>
          </w:tcPr>
          <w:p>
            <w:pPr>
              <w:jc w:val="center"/>
              <w:ind w:left="3910"/>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7620</wp:posOffset>
            </wp:positionV>
            <wp:extent cx="831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-7620</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-7620</wp:posOffset>
            </wp:positionV>
            <wp:extent cx="114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2">
            <w:col w:w="9760" w:space="680"/>
            <w:col w:w="74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terms “Harmonic,” “Company,” “we,” “us,” “its,” and “our,” as used in this Annual Report on Form 10-K, refer to Harmonic Inc. and its subsidiaries and its predecessors as a combined entity, except where the context requires otherwise.</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statements contained in this Annual Report on Form 10-K are forward-looking statements that involve risk and uncertainties. The statements contained in this Annual Report on Form 10-K that are not purely historical are forward-looking statements within the meaning of Section 27A of the Securities Act of 1933, as amended (the “Securities Acts”), and Section-21E of the Securities Exchange Act of 1934, as amended (the “Exchange Act”), including, without limitation, statements regarding our expectations, beliefs, intentions or strategies regarding the future. In some cases, you can identify forward-looking statements by terminology such as, “may,” “will,” “should,” “expects,” “plans,” “anticipates,” “could,” “believes,” “intends,” “estimates,” “predicts,” “potential,” or “continue” or the negative of these terms or other comparable terminology. These forward-looking statements include, but are not limited to, statements regarding:</w:t>
      </w:r>
    </w:p>
    <w:p>
      <w:pPr>
        <w:spacing w:after="0" w:line="121" w:lineRule="exact"/>
        <w:rPr>
          <w:sz w:val="20"/>
          <w:szCs w:val="20"/>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trends and demands in the markets we address, particularly emerging markets;</w:t>
      </w:r>
    </w:p>
    <w:p>
      <w:pPr>
        <w:spacing w:after="0" w:line="157" w:lineRule="exact"/>
        <w:rPr>
          <w:rFonts w:ascii="Times New Roman" w:cs="Times New Roman" w:eastAsia="Times New Roman" w:hAnsi="Times New Roman"/>
          <w:sz w:val="18"/>
          <w:szCs w:val="18"/>
          <w:color w:val="auto"/>
        </w:rPr>
      </w:pPr>
    </w:p>
    <w:p>
      <w:pPr>
        <w:ind w:left="620" w:right="280" w:hanging="148"/>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changes in interest rates, volatility and uncertainty in the banking and financial services sector, supply chain disruptions, tariffs, government shutdowns, and volatile capital markets and foreign currency fluctuations, particularly in certain geographies;</w:t>
      </w:r>
    </w:p>
    <w:p>
      <w:pPr>
        <w:spacing w:after="0" w:line="94" w:lineRule="exact"/>
        <w:rPr>
          <w:rFonts w:ascii="Times New Roman" w:cs="Times New Roman" w:eastAsia="Times New Roman" w:hAnsi="Times New Roman"/>
          <w:sz w:val="18"/>
          <w:szCs w:val="18"/>
          <w:color w:val="auto"/>
        </w:rPr>
      </w:pPr>
    </w:p>
    <w:p>
      <w:pPr>
        <w:ind w:left="620" w:right="240" w:hanging="148"/>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events, including the Middle East and Russia-Ukraine conflicts and risks of escalation and broader regional conflicts, and tensions between China and Taiwan and China and the United States, on our business and the markets in which we operate;</w:t>
      </w:r>
    </w:p>
    <w:p>
      <w:pPr>
        <w:spacing w:after="0" w:line="9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future products and services;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of our customers;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direction, future business plans and growth strategy;</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consolidation;</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demand for and benefits of our products and services;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revenue sources;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Broadband solutions;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acquisitions and dispositions;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potential or actual litigation;</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environment;</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restructuring plans;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regulations, including with respect to tariffs and economic sanctions;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foreign withholding taxes on our ability to repatriate funds held outside the United States;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revenue and expenses, including the sources of such revenue and expenses;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impacts of changes in accounting rules;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usability of our inventory and the risk that inventory will exceed forecasted demand;</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estimates related to goodwill and its associated carrying value;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hanging="14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cash needs and ability to raise capital, including repurchasing our common stock; and</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sale of our Video business and the intended benefits of the disposition.</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statements are subject to known and unknown risks, uncertainties and other factors, any of which may cause our actual results to differ materially from those implied by the forward-looking statements. Important factors that may cause actual results to differ from expectations include those discussed in “Risk Factors” in this Annual Report on Form 10-K. All forward-looking statements included in this Annual Report on Form 10-K are based on information available to us on the date thereof, and we assume no obligation to update any such forward-looking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In that event, the market price of our common stock could decline, and you could lose part or all of your investment. Additional risks and uncertainties that we are unaware of, or that we currently believe are not material, may also become important factors that adversely affect our business.</w:t>
      </w:r>
    </w:p>
    <w:p>
      <w:pPr>
        <w:spacing w:after="0" w:line="108" w:lineRule="exact"/>
        <w:rPr>
          <w:sz w:val="20"/>
          <w:szCs w:val="20"/>
          <w:color w:val="auto"/>
        </w:rPr>
      </w:pPr>
    </w:p>
    <w:p>
      <w:pPr>
        <w:ind w:left="620" w:hanging="14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intended benefits of the sale of our Video business;</w:t>
      </w:r>
    </w:p>
    <w:p>
      <w:pPr>
        <w:spacing w:after="0" w:line="157" w:lineRule="exact"/>
        <w:rPr>
          <w:rFonts w:ascii="Times New Roman" w:cs="Times New Roman" w:eastAsia="Times New Roman" w:hAnsi="Times New Roman"/>
          <w:sz w:val="18"/>
          <w:szCs w:val="18"/>
          <w:color w:val="auto"/>
        </w:rPr>
      </w:pPr>
    </w:p>
    <w:p>
      <w:pPr>
        <w:ind w:left="620" w:right="40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cable and telecommunication industry spending for our revenue and any material decrease or delay in spending in any of these industries would negatively impact our operating results, financial condition and cash flows;</w:t>
      </w:r>
    </w:p>
    <w:p>
      <w:pPr>
        <w:spacing w:after="0" w:line="94" w:lineRule="exact"/>
        <w:rPr>
          <w:rFonts w:ascii="Times New Roman" w:cs="Times New Roman" w:eastAsia="Times New Roman" w:hAnsi="Times New Roman"/>
          <w:sz w:val="18"/>
          <w:szCs w:val="18"/>
          <w:color w:val="auto"/>
        </w:rPr>
      </w:pPr>
    </w:p>
    <w:p>
      <w:pPr>
        <w:ind w:left="620" w:right="80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customers, a failure to continue diversifying our customer base, or a decrease in the number of larger transactions could harm our business and our operating results;</w:t>
      </w:r>
    </w:p>
    <w:p>
      <w:pPr>
        <w:spacing w:after="0" w:line="80" w:lineRule="exact"/>
        <w:rPr>
          <w:rFonts w:ascii="Times New Roman" w:cs="Times New Roman" w:eastAsia="Times New Roman" w:hAnsi="Times New Roman"/>
          <w:sz w:val="18"/>
          <w:szCs w:val="18"/>
          <w:color w:val="auto"/>
        </w:rPr>
      </w:pPr>
    </w:p>
    <w:p>
      <w:pPr>
        <w:ind w:left="620" w:right="12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develop and introduce new and enhanced products and solutions in a timely manner to meet the needs of our customers and to remain competitive;</w:t>
      </w:r>
    </w:p>
    <w:p>
      <w:pPr>
        <w:spacing w:after="0" w:line="9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operate are intensely competitive;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a number of broadband industry trends;</w:t>
      </w:r>
    </w:p>
    <w:p>
      <w:pPr>
        <w:spacing w:after="0" w:line="144" w:lineRule="exact"/>
        <w:rPr>
          <w:rFonts w:ascii="Times New Roman" w:cs="Times New Roman" w:eastAsia="Times New Roman" w:hAnsi="Times New Roman"/>
          <w:sz w:val="18"/>
          <w:szCs w:val="18"/>
          <w:color w:val="auto"/>
        </w:rPr>
      </w:pPr>
    </w:p>
    <w:p>
      <w:pPr>
        <w:ind w:left="620" w:right="10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software-based broadband product initiatives expose us to certain technology transition risks that may adversely impact our operating results, financial condition and cash flows;</w:t>
      </w:r>
    </w:p>
    <w:p>
      <w:pPr>
        <w:spacing w:after="0" w:line="94" w:lineRule="exact"/>
        <w:rPr>
          <w:rFonts w:ascii="Times New Roman" w:cs="Times New Roman" w:eastAsia="Times New Roman" w:hAnsi="Times New Roman"/>
          <w:sz w:val="18"/>
          <w:szCs w:val="18"/>
          <w:color w:val="auto"/>
        </w:rPr>
      </w:pPr>
    </w:p>
    <w:p>
      <w:pPr>
        <w:ind w:left="620" w:right="50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fluctuate significantly and, as a result, may fail to meet or exceed the expectations of securities analysts or investors, causing our stock price to decline;</w:t>
      </w:r>
    </w:p>
    <w:p>
      <w:pPr>
        <w:spacing w:after="0" w:line="94" w:lineRule="exact"/>
        <w:rPr>
          <w:rFonts w:ascii="Times New Roman" w:cs="Times New Roman" w:eastAsia="Times New Roman" w:hAnsi="Times New Roman"/>
          <w:sz w:val="18"/>
          <w:szCs w:val="18"/>
          <w:color w:val="auto"/>
        </w:rPr>
      </w:pPr>
    </w:p>
    <w:p>
      <w:pPr>
        <w:ind w:left="620" w:right="40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several key components, subassemblies and modules used in the manufacture or integration of our products from sole or limited sources, and we rely on contract manufacturers and other subcontractors;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having employees and operations in Israel and outsourced engineering resources located in Ukraine; and</w:t>
      </w:r>
    </w:p>
    <w:p>
      <w:pPr>
        <w:spacing w:after="0" w:line="157" w:lineRule="exact"/>
        <w:rPr>
          <w:rFonts w:ascii="Times New Roman" w:cs="Times New Roman" w:eastAsia="Times New Roman" w:hAnsi="Times New Roman"/>
          <w:sz w:val="18"/>
          <w:szCs w:val="18"/>
          <w:color w:val="auto"/>
        </w:rPr>
      </w:pPr>
    </w:p>
    <w:p>
      <w:pPr>
        <w:ind w:left="620" w:right="80" w:hanging="148"/>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unsuccessful at executing our business plan and necessary transition activities following the sale of our Video business, our business and results of operations may be adversely affected and our ability to invest and grow our business could be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broadband access solutions that enable broadband operators to more efficiently and effectively deploy high-speed internet for data, voice and video services for their customers.</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Broadband business provides broadband access solutions and related services, including our cOS software-based broadband access solution, to broadband operators globally.</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derived approximately 89% of our revenue from the Americas in 2025. The Europe, Middle East and Africa (“EMEA”) and Asia Pacific (“APAC”) regions accounted for 9% and 2% of our 2025 revenue, respectively.</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Harmonic was initially incorporated in California in June 1988 and was reincorporated in Delaware in May 1995. Our principal executive offices are currently located at 2590 Orchard Parkway, San Jose, California 95131. Our telephone number is (408) 542-2500. Our Internet website is http://www.harmonicinc.com. Other than the information expressly set forth in this Annual Report on Form 10-K, the information contained or referred to on our website is not part of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8, 2025, the Company entered into a Put Option Agreement (the "Put Option Agreement") to sell its Video business to Leone Media Inc. (d/b/a MediaKind) (the “Buyer”). Under the Put Option Agreement, the Buyer has irrevocably provided the Company with the right to require the Buyer to purchase the Company's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 In accordance with the authoritative guidance for discontinued operations (Accounting Standards Codification (ASC) 205-20), the Company determined that the Disposition of the Video business met the held-for-sale and discontinued operations accounting criteria upon execution of the Put Option Agreement. Accordingly, the Company classified the results of the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Unless otherwise noted, the discussion throughout Part I of this Form 10-K, including the various metrics cited, excludes the Video business and pertains only to our continuing operations. For information on discontinued operations, refer to Note 3 of our consolidated financial statements under the caption “Discontinued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Market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Challenges</w:t>
      </w:r>
    </w:p>
    <w:p>
      <w:pPr>
        <w:spacing w:after="0" w:line="1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Broadband operators continue to face challenges from the rapid growth of demand for broadband bandwidth and increased reliability in their networks, driven primarily by:</w:t>
      </w:r>
    </w:p>
    <w:p>
      <w:pPr>
        <w:spacing w:after="0" w:line="94" w:lineRule="exact"/>
        <w:rPr>
          <w:sz w:val="20"/>
          <w:szCs w:val="20"/>
          <w:color w:val="auto"/>
        </w:rPr>
      </w:pPr>
    </w:p>
    <w:p>
      <w:pPr>
        <w:ind w:left="620" w:hanging="14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users with more connected devices and applications;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bundled digital video, voice and high-speed data services;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bandwidth-intensive Video-on-demand (VOD) and streaming video services, interactive cloud applications and AI-driven bandwidth usage;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work-from-home (WFH) and remote education demands for high-quality video conferencing;</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Internet-of-Things (IoT) devices that contribute to continuous data generation and transmission;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quality of experience demands for real-time video conferencing, gaming and artificial intelligence (AI) applications.</w:t>
      </w:r>
    </w:p>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 operation of network infrastructure is space, power and personnel intensive. Hardware-centric networks can also be expensive to update or replace. To remain competitive, especially in the face of heightened competition for high-speed data (HSD) subscribers to deliver multi-gigabit and symmetric data rates, broadband operators need to significantly upgrade existing equipment and network technologies.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Trends</w:t>
      </w:r>
    </w:p>
    <w:p>
      <w:pPr>
        <w:spacing w:after="0" w:line="160" w:lineRule="exact"/>
        <w:rPr>
          <w:sz w:val="20"/>
          <w:szCs w:val="20"/>
          <w:color w:val="auto"/>
        </w:rPr>
      </w:pPr>
    </w:p>
    <w:p>
      <w:pPr>
        <w:ind w:left="620" w:right="260" w:hanging="148"/>
        <w:spacing w:after="0" w:line="267"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DOCSIS. </w:t>
      </w:r>
      <w:r>
        <w:rPr>
          <w:rFonts w:ascii="Times New Roman" w:cs="Times New Roman" w:eastAsia="Times New Roman" w:hAnsi="Times New Roman"/>
          <w:sz w:val="18"/>
          <w:szCs w:val="18"/>
          <w:color w:val="auto"/>
        </w:rPr>
        <w:t>We believe the cable industry will continue to deploy the DOCSIS 3.1 standard, which enables high bandwidth data transfer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broadband infrastructure, and we expect accelerating adoption and deployment of the next-generation DOCSIS 4.0 standard, which has begun in certain markets.</w:t>
      </w:r>
    </w:p>
    <w:p>
      <w:pPr>
        <w:spacing w:after="0" w:line="105" w:lineRule="exact"/>
        <w:rPr>
          <w:rFonts w:ascii="Times New Roman" w:cs="Times New Roman" w:eastAsia="Times New Roman" w:hAnsi="Times New Roman"/>
          <w:sz w:val="18"/>
          <w:szCs w:val="18"/>
          <w:color w:val="auto"/>
        </w:rPr>
      </w:pPr>
    </w:p>
    <w:p>
      <w:pPr>
        <w:ind w:left="620" w:right="60" w:hanging="148"/>
        <w:spacing w:after="0" w:line="257"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Virtualization. </w:t>
      </w:r>
      <w:r>
        <w:rPr>
          <w:rFonts w:ascii="Times New Roman" w:cs="Times New Roman" w:eastAsia="Times New Roman" w:hAnsi="Times New Roman"/>
          <w:sz w:val="18"/>
          <w:szCs w:val="18"/>
          <w:color w:val="auto"/>
        </w:rPr>
        <w:t>We believe broadband operators will continue to move toward more software-driven architectures, which is central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Broadband business and product strategy. Virtualized software solutions that are decoupled from underlying hardware and run on commercial-off-the-shelf (COTS) servers and/or cloud-native architectures allow for significantly increased efficiencies, upgradability, configuration flexibility, service agility and scalability not feasible with hardware-centric approaches. We believe a software-based broadband access solution can significantly reduce broadband operator facility costs, especially costs related to physical space and power consumption, and increase operational efficiency, and that the deployment of these systems will be an important step in broadband operators’ transition to all-IP networks.</w:t>
      </w:r>
    </w:p>
    <w:p>
      <w:pPr>
        <w:spacing w:after="0" w:line="101" w:lineRule="exact"/>
        <w:rPr>
          <w:rFonts w:ascii="Times New Roman" w:cs="Times New Roman" w:eastAsia="Times New Roman" w:hAnsi="Times New Roman"/>
          <w:sz w:val="18"/>
          <w:szCs w:val="18"/>
          <w:color w:val="auto"/>
        </w:rPr>
      </w:pPr>
    </w:p>
    <w:p>
      <w:pPr>
        <w:ind w:left="620" w:hanging="148"/>
        <w:spacing w:after="0" w:line="256"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Access Architecture. </w:t>
      </w:r>
      <w:r>
        <w:rPr>
          <w:rFonts w:ascii="Times New Roman" w:cs="Times New Roman" w:eastAsia="Times New Roman" w:hAnsi="Times New Roman"/>
          <w:sz w:val="18"/>
          <w:szCs w:val="18"/>
          <w:color w:val="auto"/>
        </w:rPr>
        <w:t>In addition to centralized broadband access solutions, we believe interest in distributed access solutions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accelerate, particularly in competitive gigabit service markets where broadband operators are competing with fiber-to-the-home (FTTH) services and are extending fiber networks deeper into their access networks. A distributed access architecture (DAA) coupled with a software-based broadband access solution running on COTS servers at a headend, and the distribution of DAA nodes closer to end users, alleviates the power and space requirements of centralized systems at headend sites due to the fact that the radio frequency (RF) processing is distributed into the field outside of the headend. We believe this distributed architecture will enable service providers to efficiently scale to support data and IP video growth.</w:t>
      </w:r>
    </w:p>
    <w:p>
      <w:pPr>
        <w:spacing w:after="0" w:line="115" w:lineRule="exact"/>
        <w:rPr>
          <w:rFonts w:ascii="Times New Roman" w:cs="Times New Roman" w:eastAsia="Times New Roman" w:hAnsi="Times New Roman"/>
          <w:sz w:val="18"/>
          <w:szCs w:val="18"/>
          <w:color w:val="auto"/>
        </w:rPr>
      </w:pPr>
    </w:p>
    <w:p>
      <w:pPr>
        <w:ind w:left="620" w:right="100" w:hanging="148"/>
        <w:spacing w:after="0" w:line="255"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Multiple Access. </w:t>
      </w:r>
      <w:r>
        <w:rPr>
          <w:rFonts w:ascii="Times New Roman" w:cs="Times New Roman" w:eastAsia="Times New Roman" w:hAnsi="Times New Roman"/>
          <w:sz w:val="18"/>
          <w:szCs w:val="18"/>
          <w:color w:val="auto"/>
        </w:rPr>
        <w:t>cOS is a software-based solution that runs on COTS servers connected to distributed access nodes. Traditionally, the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nodes deliver service to the subscribers over RF signals with DOCSIS. With cOS, FTTH services over passive optical networks (PON) can be supported with software running on cOS servers and with remote optical line termination (OLT) modules plugged into the DAA nodes. The result is that the cOS solution can support delivering both DOCSIS and PON services to different subscribers, which we believe is another key differentiating competitive advantage for Harmonic. As fiber is pulled deeper into the network, broadband operators will have the infrastructure and technology to deliver both traditional cable services and FTTH. Harmonic offers a range of indoor OLT shelves and hardened outdoor OLT shelves and OLT modules as part of the cOS solution, delivering PON services to telcos. Additionally, our open optical network unit (ONU) approach, which supports a growing list of ONUs, fosters an open ecosystem that benefits telcos.</w:t>
      </w:r>
    </w:p>
    <w:p>
      <w:pPr>
        <w:spacing w:after="0" w:line="11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Our business strategy is focused on providing our customers with software-based access solutions, on a centralized, distributed access or hybrid architecture, to enable and support these technology and industry trends. Our strategy centers on delivering solutions to improve subscriber satisfaction through superior speed, reliability, and quality of experience. Our comprehensive fiber and cable portfolio, combined with an intelligent platform as a service, empowers brand providers worldwide to transform their networks faster and more efficiently while proactively optimizing performance and ensuring excellent subscriber experience.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Solutions</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Software-Based Broadband Access Solution. </w:t>
      </w:r>
      <w:r>
        <w:rPr>
          <w:rFonts w:ascii="Times New Roman" w:cs="Times New Roman" w:eastAsia="Times New Roman" w:hAnsi="Times New Roman"/>
          <w:sz w:val="18"/>
          <w:szCs w:val="18"/>
          <w:color w:val="auto"/>
        </w:rPr>
        <w:t>As demand continues to rapidly grow for high-speed broadband services such as streaming, VOD, time-shift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TV and cloud DVR, we believe we can help broadband operators take advantage of this opportunity with our cOS software-based broadband access solution, an end-to-end solution consisting of virtualized cloud-native software elements that orchestrate and connect with a variety of Harmonic and third-party indoor and outdoor hardware devices. Harmonic hardware products include our Oyster, Ripple and SeaStar DAA nodes; Reef and Wave PHY shelf products; Pebble Remote PHY Devices (RPDs); and Fin, Pearl and Pier OLT modules and devices.</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our cOS solution delivers unprecedented scalability, agility and cost savings, and enables our customers to migrate to multi-gigabit broadband capacity and the fast deployment of DOCSIS and FTTx data, video and voice services. We believe our solution resolves space and power constraints in broadband operator facilities, significantly reduces dependence on hardware upgrade cycles, and reduces total cost of ownership. Our cOS solution can be deployed based on a centralized, distributed access or hybrid architecture.</w:t>
      </w:r>
    </w:p>
    <w:p>
      <w:pPr>
        <w:spacing w:after="0" w:line="11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cOS Central Cloud Services</w:t>
      </w:r>
      <w:r>
        <w:rPr>
          <w:rFonts w:ascii="Times New Roman" w:cs="Times New Roman" w:eastAsia="Times New Roman" w:hAnsi="Times New Roman"/>
          <w:sz w:val="18"/>
          <w:szCs w:val="18"/>
          <w:color w:val="auto"/>
        </w:rPr>
        <w:t>. Our cOS Central Cloud Services is a value-add subscription service for cOS customers that bundles three elements: (i) 24x7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technical support, (ii) a dedicated customer success team focused on customer satisfaction and retention, and (iii) a cOS Central SaaS that enhances and simplifies the deployment, monitoring, operation and maintenance of the cOS solution with advanced analytics, management and engagement tools.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Support and Professional Services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maintenance and support services to most of our customers under service level agreements that are generally renewed on an annual basis. We also provide consulting, implementation and integration services to our customers worldwide. We draw upon our expertise in communications networking and broadband access technologies to design, integrate and install complete solutions for our customers, including integration with third-party products and services. We offer a broad range of services, including program management, technical design and planning, building and site preparation, integration and equipment installation, end-to-end system testing and comprehensive training.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sell our products to a variety of cable and telco operators. Set forth below is a representative list of our significant end user and integrator/reseller customers, listed alphabetically, based, in part, on revenue during 2025.</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2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rPr>
              <w:t>International</w:t>
            </w:r>
          </w:p>
        </w:tc>
      </w:tr>
      <w:tr>
        <w:trPr>
          <w:trHeight w:val="20"/>
        </w:trPr>
        <w:tc>
          <w:tcPr>
            <w:tcW w:w="9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Astound</w:t>
            </w: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 Movil</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Cable One, Inc.</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Cablemas Telecom</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Charter Communications</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DNA OYJ</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Clarity Telcom</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Interactive Digital Technologies Inc.</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Comcast</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Millicom International</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ePlus</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Normann Engineering</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GCI Communication</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Tele2 Sverige AB</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MediaCom</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Telecentro SA</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 Hertz</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Telia Norge</w:t>
            </w: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MidContinent Communications</w:t>
            </w:r>
          </w:p>
        </w:tc>
        <w:tc>
          <w:tcPr>
            <w:tcW w:w="3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Vodafone</w:t>
            </w: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Sales to our 10 largest customers in 2025, 2024 and 2023 accounted for approximately 84%, 91% and 90% of our net revenue, respectively. Although we continue to seek to broaden our customer base by penetrating new markets and further expanding internationally, we expect to see continuing industry consolidation and customer concentration.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2025, one customer accounted for 54% of our net revenue. During the fiscal year ended December 31, 2024, two of our customers accounted for 57% and 24% of our net revenue, respectively. During the fiscal year ended December 31, 2023, one customer accounted for 64% of our net revenue. The loss of any significant customer, or any material reduction in orders from any significant customer, or our failure to qualify our new products with any significant customer could materially and adversely affect our operating results, financial condition and cash flows. In addition, we are involved in most quarters in one or more relatively large individual transactions. A decrease in the number of relatively larger individual transactions in which we are involved in any quarter could adversely affect our operating results for that quarter.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United States and internationally, we sell our products through our own direct sales force, as well as through independent resellers and systems integrators. Our direct sales team is organized geographically and by major customers and markets to support customer requirements. Our principal sales offices outside of the United States are located in Europe and Asia. Our international resellers are generally responsible for importing our products and providing certain installation, technical support and other services to customers in their territory after receiving training from us.</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direct sales force and resellers are supported by highly trained technical staff, which includes application engineers who work closely with our customers to develop technical proposals and design systems to optimize system performance and economic benefits for our customers. Our technical support teams provide a customized set of services, as required, for ongoing maintenance, support-on-demand and training for our customers and resellers, both in our facilities and on-site.</w:t>
      </w:r>
    </w:p>
    <w:p>
      <w:pPr>
        <w:spacing w:after="0" w:line="1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product management organization develops strategies for product lines and markets and, in conjunction with our sales force, identifies the evolving technical and application needs of customers so that our product development resources can be most effectively and efficiently deployed to meet anticipated product requirements. Each product management organization is also responsible for setting price levels, demand forecasting and general support of the sales force, particularly at major accounts.</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corporate marketing organization is responsible for building awareness of the Harmonic brand in our markets and driving engagement with our strategies, solutions and products. The group develops our corporate messaging and manages our customer and industry communication channels, including public relations, web and social media, events and trade shows, as well as demand generation marketing campaigns in conjunction with our sales force.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third-party contract manufacturers to assemble our products and the subassemblies and modules for our products. In 2003, we entered into an agreement with Plexus Services Corp. (“Plexus”) to act as our primary contract manufacturer. Plexus accounts for the majority of the products we purchase from our contract manufacturers. This agreement has automatic annual renewals, unless prior notice for nonrenewal is given, and has been automatically renewed for a term expiring in October 2026. We do not generally maintain long-term agreements with any of our contract manufacturers beyond Plexus.</w:t>
      </w:r>
    </w:p>
    <w:p>
      <w:pPr>
        <w:spacing w:after="0" w:line="112"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Many components, subassemblies and modules necessary for the manufacture or integration of our products are obtained from a sole supplier or a limited group of suppliers. While we expend considerable efforts to qualify additional component sources, consolidation of suppliers in the industry and the small number of viable alternatives have limited the results of these efforts. We do not generally maintain long-term agreements with any of our suppliers.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December 31, 2025, we held 65 issued U.S. patents and seven issued foreign patents and had 39 patent applications pending. Our issued patents are scheduled to expire between 2030 and 2043. Although we attempt to protect our intellectual property rights through patents, trademarks, copyrights, licensing arrangements, maintaining certain technology as trade secrets and other measures, we cannot assure you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claims, or the scope of the claims, sought by us, if at all. We cannot provide assurance that others will not develop technologies that are similar or superior to our technology, duplicate our technology or design around our patents. In addition, effective patent, copyright and trade secret protection may be unavailable or limited in a territory in which we do business or may do business in the future.</w:t>
      </w:r>
    </w:p>
    <w:p>
      <w:pPr>
        <w:spacing w:after="0" w:line="11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enter into confidentiality or license agreements with our employees, consultants, vendors and customers as needed, and generally limit access to, and distribution of, our proprietary information. However, no assurances can be given that these actions will prevent misappropriation of our technology. In addition, if necessary, we are prepared to take legal action, in the future, to enforce our patents and other intellectual property rights, to protect our trade secrets, to determine the validity and scope of the proprietary rights of others, or to defend against claims of infringement or invalidity. Any such litigation could result in substantial costs and diversion of resources, including management time, and could negatively affect our business, operating results, financial position and cash flows.</w:t>
      </w:r>
    </w:p>
    <w:p>
      <w:pPr>
        <w:spacing w:after="0" w:line="12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In order to successfully develop and market our products, we may be required to enter into technology development or licensing agreements with third parties. Although many companies are often willing to enter into such technology development or licensing agreements, we cannot assure you that such agreements can be negotiated on reasonable terms or at all. The failure to enter into technology development or licensing agreements, when necessary, could limit our ability to develop and market new products and could harm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schedule production of our products and solutions based upon our backlog, open contracts, informal commitments from customers and sales projections. Our backlog consists of unfilled firm purchase orders and contracts by our customers which have not been completed. Approximately 53% of our backlog and deferred revenue is projected to be converted to revenue within a rolling one-year period. As of December 31, 2025 and 2024, we had backlog, including deferred revenue, of $573.8 million and $332.3 million, respectively. Delivery schedules on such orders may be deferred or canceled for a number of reasons, including reductions in spending by our customers or changes in specific customer requirements. In addition, due to annual budget cycles at many of our customers, the amount of our backlog at any given time is not necessarily indicative of actual revenues for any succeeding period.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Broadband market in which we operate is extremely competitive and has been characterized by rapid technological change and declining average selling prices in the past. The principal competitive factors in this market include product performance, functionality and features, reliability, pricing, breadth of product offerings, brand recognition and awareness, sales and distribution capabilities, technical operations, support and services, and customer relationships with our customers. We believe that we compete favorably in each of these categories.</w:t>
      </w:r>
    </w:p>
    <w:p>
      <w:pPr>
        <w:spacing w:after="0" w:line="11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competitors in our Broadband business include a number of suppliers of networking and communications equipment and solutions to broadband service providers.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historically devoted a significant amount of our resources to research and development. Research and development expenses in 2025, 2024 and 2023 were approximately $76.3 million, $72.6 million and $69.7 million, respectively. Research and development expenses as a percentage of revenue in 2025, 2024 and 2023 were approximately 21%, 15% and 18%, respectively. Our internal research and development activities are conducted primarily in Israel, France, United States, and India. In addition, a portion of our research and development is conducted through third-party partners with engineering resources in Ukraine and Poland.</w:t>
      </w:r>
    </w:p>
    <w:p>
      <w:pPr>
        <w:spacing w:after="0" w:line="102"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Our major research and development efforts are focused on broadband access solutions, particularly the ongoing development of our centralized, distributed and hybrid cOS software-based broadband access solutions and converging fiber and DOCSIS capabilities on our cOS solution platform.</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in designing, developing, manufacturing and selling new or enhanced products and solutions will depend on a variety of factors, including the identification of market demand for new products and solutions, product selection, timely product design and development, product performance, effective manufacturing and assembly processes, and sales and marketing. Because of the complexity inherent in such research and development efforts, we cannot assure you that we will successfully develop new products and solutions, or that new products and solutions developed by us will achieve market acceptance. Our failure to successfully develop and introduce new products and solutions would materially and adversely affect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2025, we employed a total of 534 full time employees, including 236 in research and development, 62 in sales, 80 in service and support, 45 in operations, 25 in marketing (corporate and product) and 86 in a general and administrative capacity. Of those employees, 195 were located in the United States and Canada, and 339 employees were located outside of North America in 17 countries in Central and South America, the Middle East and Africa, Europe and the Asia Pacific region. From time to time, we also employ a number of temporary employees and consultants on a contract basis. Our employees in France are represented by labor unions and an employee works council. None of our other employees are represented by a labor union with respect to their employment with us. We have not experienced any work stoppages, and we consider our relations with our employees to be good.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Competition for qualified personnel in the technology space is intense, and we believe that our future success largely depends upon our continued ability to attract, develop and retain highly skilled individuals across the globe. We believe we offer competitive compensation (including salary, incentive bonus and equity awards) and comprehensive benefits packages in each of our locations around the globe. We aim to create an environment in which our employees can develop and grow, and be recognized for their achievements. We offer training, development and on-demand learning programs to support continuous learning and cultivate talent throughout the company, and promote opportunities for internal mobility and recruitment across functions and geographies. We offer rewards and recognition programs, including spot awards to recognize employee contributions, patent incentive awards, and various functional recognition awards. We regularly conduct employee surveys to gauge employee engagement and satisfaction, and we use the views expressed in the surveys to influence our people strategy and policies.</w:t>
      </w:r>
    </w:p>
    <w:p>
      <w:pPr>
        <w:spacing w:after="0" w:line="11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inclusion, where all employees are respected regardless of gender, race, color, national origin, ancestry, citizenship, religion, age, physical or mental disability, medical condition, genetic information, pregnancy, sexual orientation, gender identity or gender expression, veteran status, or marital status. We support regional employee-led groups that promote and drive various volunteering initiatives aimed at assisting underrepresented and disadvantaged populations in the communities where we operate. We continue to focus on building a pipeline for talent to create more opportunities for workplace gender and other diversity and to support greater representation within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website is located at www.harmonicinc.com, and our investor relations website is located at investor.harmonicinc.com. Copies of the Company’s Annual Report on Form 10-K, Quarterly Reports on Form 10-Q, Current Reports on Form 8-K, and amendments to those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at www.sec.gov.</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announce material information to the public about us, our products and services and other matters through a variety of means, including filings with the SEC, press releases, public conference calls, webcasts, and our investor relations web site (investor.harmonicinc.com) in order to achieve broad, non-exclusionary distribution of information to the public and for complying with our disclosure obligations under Regulation FD. Except as expressly set forth in this Annual Report on Form 10-K, the contents of our web site are not incorporated by reference into, or otherwise to be regarded as part of, this report or in any other report or document we file with the SEC, and any references to our websites are intended to be inactive textual references only.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Sale of our Video Business</w:t>
      </w:r>
    </w:p>
    <w:p>
      <w:pPr>
        <w:spacing w:after="0" w:line="279"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completing the pending sale of our Video business or executing our business plan and necessary transition activities following the sale of our Video business, our business and results of operations may be adversely affected and our ability to invest and grow our business could be limited.</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8, 2025, we entered into the Put Option Agreement to sell our Video business to Leone Media Inc. We face risks related to the Disposition, including the possibility that the Put Option Agreement may be terminated prior to the completion of the Disposition, diversion of management’s attention, disruption of our relationships with third parties and employees, and restrictions on our business activities and potential litigation related to the Disposition. We may experience delays in the anticipated timing of activities related to the Disposition, including with respect to the completion of the consultation process with the relevant employee works council in France or other regulatory approvals, and higher than expected or unanticipated execution costs. If we do not succeed in executing the Disposition or if these efforts are more costly or time-consuming than expected, our business and results of operations may be adversely affected, which could limit our ability to invest in and grow our business. Additionally, the risks described elsewhere in this annual report on Form 10-K related to our Video business will continue to impact our business until the completion of the Disposition.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the intended benefits of the sale of our Video business.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not realize some or all of the anticipated benefits of the sale of our Video business. The constraints on our business imposed by the Disposition, including the resources required to complete the Disposition and the sale of certain assets and revenue streams we have historically used in our business, could have a continuing impact on the execution of our business strategy and our overall operating results.</w:t>
      </w:r>
    </w:p>
    <w:p>
      <w:pPr>
        <w:spacing w:after="0" w:line="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realize some or all of the anticipated benefits of the Disposition with respect to the anticipated performance in our remaining business segment and the Disposition may adversely affect our business. Our ability to realize the anticipated benefits of the Disposition will depend significantly on our ability to successfully operate, grow and develop the remaining business segment in the absence of our Video business. In addition, some of the anticipated benefits may not occur for a significant time period following the completion of the Disposition. If our strategy is not successful and does not achieve our expectations over the long term, our business and results of operations may be adversely affected and the price of our common stock could decline.</w:t>
      </w:r>
    </w:p>
    <w:p>
      <w:pPr>
        <w:spacing w:after="0" w:line="11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will be dependent solely on the operations of the Broadband business and may differ materially from our previous results.</w:t>
      </w:r>
    </w:p>
    <w:p>
      <w:pPr>
        <w:spacing w:after="0" w:line="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Video business generated approximately 37% of our aggregate revenue for fiscal 2025, approximately 28% of our aggregate revenue for fiscal 2024, and approximately 36% of our aggregate revenue for fiscal 2023. Accordingly, our future financial results may differ from our previous results since our future financial results will be dependent solely on our Broadband business. Any downturn in our Broadband business could have a material adverse effect on our future operating results and financial condition and could materially and adversely affect the trading price of our common stock.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cable and telco industry spending for our revenue and any material decrease or delay in spending in any of these industries would negatively impact our operating results, financial condition and cash flows.</w:t>
      </w:r>
    </w:p>
    <w:p>
      <w:pPr>
        <w:spacing w:after="0" w:line="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revenue has been derived from worldwide sales to broadband service providers. We expect that these markets will provide our revenue for the foreseeable future. Demand for our products and solutions will depend on the magnitude and timing of spending by customers in each of these markets for the purpose of creating, expanding or upgrading their systems. These spending patterns are dependent on a variety of factors, including:</w:t>
      </w:r>
    </w:p>
    <w:p>
      <w:pPr>
        <w:spacing w:after="0" w:line="108" w:lineRule="exact"/>
        <w:rPr>
          <w:sz w:val="20"/>
          <w:szCs w:val="20"/>
          <w:color w:val="auto"/>
        </w:rPr>
      </w:pPr>
    </w:p>
    <w:p>
      <w:pPr>
        <w:ind w:left="620" w:right="180" w:hanging="148"/>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actual and projected, including inflation, changing interest rates, lower consumer confidence, volatile capital markets, supply chain disruptions, changes in tariffs and trade policies, government shutdowns, uncertainty and volatility in the financial services sector and the impact of the Middle East and Russia-Ukraine conflicts, and government and business responses thereto, on the global economy and regional economies;</w:t>
      </w:r>
    </w:p>
    <w:p>
      <w:pPr>
        <w:spacing w:after="0" w:line="112"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financing;</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budget cycles of customers in each of the industries we serve;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consolidation;</w:t>
      </w:r>
    </w:p>
    <w:p>
      <w:pPr>
        <w:spacing w:after="0" w:line="157" w:lineRule="exact"/>
        <w:rPr>
          <w:rFonts w:ascii="Times New Roman" w:cs="Times New Roman" w:eastAsia="Times New Roman" w:hAnsi="Times New Roman"/>
          <w:sz w:val="18"/>
          <w:szCs w:val="18"/>
          <w:color w:val="auto"/>
        </w:rPr>
      </w:pPr>
    </w:p>
    <w:p>
      <w:pPr>
        <w:ind w:left="620" w:right="360" w:hanging="148"/>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suspending, reducing or shifting spending in order to transition or adapt to new broadband industry standards and industry trends or technology shifts;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government regulation of the broadband industry;</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broadband services; and</w:t>
      </w:r>
    </w:p>
    <w:p>
      <w:pPr>
        <w:spacing w:after="0" w:line="157" w:lineRule="exact"/>
        <w:rPr>
          <w:rFonts w:ascii="Times New Roman" w:cs="Times New Roman" w:eastAsia="Times New Roman" w:hAnsi="Times New Roman"/>
          <w:sz w:val="18"/>
          <w:szCs w:val="18"/>
          <w:color w:val="auto"/>
        </w:rPr>
      </w:pPr>
    </w:p>
    <w:p>
      <w:pPr>
        <w:ind w:left="620" w:right="80" w:hanging="148"/>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pricing pressures, and the impact of fluctuations in currency exchange rates, such as the strengthening of the U.S. dollar;</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the past, specific factors contributing to reduced spending have included:</w:t>
      </w:r>
    </w:p>
    <w:p>
      <w:pPr>
        <w:spacing w:after="0" w:line="158" w:lineRule="exact"/>
        <w:rPr>
          <w:sz w:val="20"/>
          <w:szCs w:val="20"/>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uncertain economic and financial conditions in the United States or one or more international markets;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development of industry technology;</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evaluations of new services, new standards and systems architectures by certain customers;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capital available to finance projects of our customers and potential customers;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and completed business combinations and divestitures by our customers and the length of regulatory review of each;</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new system or significant expansion or upgrade to a system; and</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and financial restructuring of major customers.</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past, adverse economic conditions in one or more of the geographies in which we offer our products have adversely affected our customers’ spending in those geographies and, as a result, our business. During challenging economic times, such as those caused by the Middle East and Russia-Ukraine conflicts, inflation, currency devaluation, and bank insolvencies and related uncertainty and volatility in the financial services sector and in tight credit markets, many customers have delayed and reduced and may continue to delay or reduce capital expenditures. This has resulted and could continue to result in reductions in revenue from our products, longer sales cycles, difficulties in collection of accounts receivable, slower adoption of new technologies and increased price competition. If global economic and market conditions, or economic conditions in the United States, Europe or other key markets, remain uncertain or deteriorate, we could experience a material and adverse effect on our business, results of operations, financial condition and cash flows.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uncertainty regarding the impact of tariffs imposed or threatened by the current U.S. administration, as well as any potential retaliatory measures by impacted trade partners, could adversely impact trade relations, result in higher costs and thereby decrease the purchasing power of our customers, which could delay purchasing decisions, impact payment terms and collections,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spacing w:after="0" w:line="10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since most of our international revenue is denominated in U.S. dollars, global economic and market conditions, including those exacerbated by a prolonged government shutdown, may impact currency exchange rates and cause our products to become relatively more expensive to customers in a particular country or region, which could lead to delayed or reduced spending in those countries or regions, thereby negatively impacting our business and financial condition.</w:t>
      </w:r>
    </w:p>
    <w:p>
      <w:pPr>
        <w:spacing w:after="0" w:line="11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industry consolidation has in the past constrained, and may in the future constrain or delay, spending by our customers. Further, if our product portfolio and product development plans do not position us well to capture an increased portion of the spending of customers in the markets on which we focus, our revenue may decline.</w:t>
      </w:r>
    </w:p>
    <w:p>
      <w:pPr>
        <w:spacing w:after="0" w:line="10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various factors and potential issues related to customer spending, we may not be able to maintain or increase our revenue in the future, and our operating results, financial condition and cash flows could be materially and adversely affected.</w:t>
      </w:r>
    </w:p>
    <w:p>
      <w:pPr>
        <w:spacing w:after="0" w:line="21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customers, a failure to continue diversifying our customer base, or a decrease in the number of larger transactions could harm our business and our operating results.</w:t>
      </w:r>
    </w:p>
    <w:p>
      <w:pPr>
        <w:spacing w:after="0" w:line="7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Historically, a significant portion of our revenue has been derived from relatively few customers, due in part to customer consolidation. Sales to our top 10 customers in the fiscal years ended December 31, 2025, 2024 and 2023 accounted for approximately 84%, 91% and 90% of our net revenue, respectively. Although we continue to seek to broaden our customer base by penetrating new markets and further expanding domestically and internationally, we expect to see continuing industry consolidation activity and customer concentration.</w:t>
      </w:r>
    </w:p>
    <w:p>
      <w:pPr>
        <w:spacing w:after="0" w:line="1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fiscal year ended December 31, 2025, one customer accounted for 54% of our net revenue. During the fiscal year ended December 31, 2024, two of our customers accounted for 57% and 24% of our net revenue, respectively. During the fiscal year ended December 31, 2023, one customer accounted for 64% of our net revenue. Further consolidation among cable operators and telecommunication companies could lead to additional revenue concentration for us. The loss of any significant customer, or any material reduction in orders from any other significant customer, or our failure to qualify our new products with any significant customer could materially and adversely affect, either long term or in a particular quarter, our operating results, financial condition and cash flows. If our significant customers deploy our solutions slower or at a scale that is lower than we anticipate, our operating results, financial condition and cash flows could be materially and adversely affected.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in most quarters, we are involved in one or more relatively large individual transactions. A decrease in the number of the relatively larger individual transactions in which we are involved in any quarter could materially and adversely affect the operating results for that quarter for the applicable business unit or the Company as a whole.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may be unable to increase our revenues from some or all of the markets we address, or to do so profitably, and any failure to increase revenues and profits from these customers could materially and adversely affect our operating results, financial condition and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develop and introduce new and enhanced products and solutions in a timely manner to meet the needs of our customers and to remain competitive.</w:t>
      </w:r>
    </w:p>
    <w:p>
      <w:pPr>
        <w:spacing w:after="0" w:line="9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All of the markets we address are characterized by continuing technological advancement, changes in customer requirements and evolving industry standards. To compete successfully, we must continually design, develop, manufacture and sell new or enhanced products and solutions that provide increasingly higher levels of performance and reliability and meet our customers’ changing needs. However, we may not be successful in those efforts if, among other things, our products and solutions:</w:t>
      </w:r>
    </w:p>
    <w:p>
      <w:pPr>
        <w:spacing w:after="0" w:line="99" w:lineRule="exact"/>
        <w:rPr>
          <w:sz w:val="20"/>
          <w:szCs w:val="20"/>
          <w:color w:val="auto"/>
        </w:rPr>
      </w:pPr>
    </w:p>
    <w:p>
      <w:pPr>
        <w:ind w:left="620" w:hanging="14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cost effective;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brought to market in a timely manner;</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 accordance with evolving industry standards;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meet market acceptance or customer requirements; or</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ahead of the needs of their markets.</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new standards or some of our new products are adopted later than we predict or not adopted at all, or if adoption occurs earlier than we are able to deliver the applicable products or functionality, we risk spending significant research and development time and dollars on products or features that may never achieve market acceptance or that miss the customer demand window and thus do not produce the revenue that a timely introduction would have likely produced.</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fail to develop and market new and enhanced products and solutions on a timely basis, our operating results, financial condition and cash flows could be materially and adversely affected.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intensely competitive.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have been characterized by rapid technological change and declining average sales prices in the past. Our competitors in our Broadband business include a number of suppliers of networking and communications equipment and solutions to broadband service providers. A number of our principal business competitors are substantially larger and/or may have access to greater financial, technical, marketing or other resources than we have.</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some of our larger competitors may have more long-standing and established relationships with certain domestic and foreign customers. Many of these large enterprises are in a better position to withstand any significant reduction in spending by customers in our markets and may be better able to navigate periods of market uncertainty, such as the uncertainty caused by the Middle East and the Russia-Ukraine conflicts and related risks of escalation or broader regional conflicts, bank insolvency and related uncertainty and volatility in the financial services sector and inflation. They often have broader product lines and market focus, and may not be as susceptible to downturns in a particular market. These competitors may also be able to bundle their products together to meet the needs of a particular customer, and may be capable of delivering more complete solutions than we are able to provide. To the extent large enterprises that currently do not compete directly with us choose to enter our markets by acquisition or otherwise, competition would likely intensify.</w:t>
      </w:r>
    </w:p>
    <w:p>
      <w:pPr>
        <w:spacing w:after="0" w:line="11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some of our competitors have offered, and in the future may offer, their products at lower prices than we offer for our competing products or on more attractive financing or payment terms, which has in the past caused, and may in the future cause, us to lose sales opportunities and the resulting revenue or to reduce our prices in response to that competition. Also, some competitors that are smaller than us have engaged in, and may continue to engage in, aggressive price competition in order to gain customer traction and market share. Reductions in prices for any of our products could materially and adversely affect our operating margins and revenue.</w:t>
      </w:r>
    </w:p>
    <w:p>
      <w:pPr>
        <w:spacing w:after="0" w:line="1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any of our competitors’ products or technologies were to become the industry standard, our business could be seriously harmed. If our competitors are successful in bringing their products to market earlier than us, or if these products are more technologically capable than ours, our revenue could be materially and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depends on a number of broadband industry trends.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industry and regulatory trends and requirements may affect the growth of our business. These trends and requirements include the following:</w:t>
      </w:r>
    </w:p>
    <w:p>
      <w:pPr>
        <w:spacing w:after="0" w:line="144" w:lineRule="exact"/>
        <w:rPr>
          <w:sz w:val="20"/>
          <w:szCs w:val="20"/>
          <w:color w:val="auto"/>
        </w:rPr>
      </w:pPr>
    </w:p>
    <w:p>
      <w:pPr>
        <w:ind w:left="620" w:hanging="14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consumers with more connected devices and applications;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convergence, whereby network operators bundle video, voice and data services to consumers, including mobile delivery options;</w:t>
      </w:r>
    </w:p>
    <w:p>
      <w:pPr>
        <w:spacing w:after="0" w:line="157" w:lineRule="exact"/>
        <w:rPr>
          <w:rFonts w:ascii="Times New Roman" w:cs="Times New Roman" w:eastAsia="Times New Roman" w:hAnsi="Times New Roman"/>
          <w:sz w:val="18"/>
          <w:szCs w:val="18"/>
          <w:color w:val="auto"/>
        </w:rPr>
      </w:pPr>
    </w:p>
    <w:p>
      <w:pPr>
        <w:ind w:left="620" w:right="20" w:hanging="148"/>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strong consumer demand for bandwidth-intensive video-on-demand and streaming video services, interactive cloud applications and AI-driven bandwidth usage;</w:t>
      </w:r>
    </w:p>
    <w:p>
      <w:pPr>
        <w:spacing w:after="0" w:line="80" w:lineRule="exact"/>
        <w:rPr>
          <w:rFonts w:ascii="Times New Roman" w:cs="Times New Roman" w:eastAsia="Times New Roman" w:hAnsi="Times New Roman"/>
          <w:sz w:val="18"/>
          <w:szCs w:val="18"/>
          <w:color w:val="auto"/>
        </w:rPr>
      </w:pPr>
    </w:p>
    <w:p>
      <w:pPr>
        <w:ind w:left="620" w:right="300" w:hanging="148"/>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adoption and deployment of high-bandwidth technology, such as DOCSIS 3.x, DOCSIS 4.0, next generation LTE and FTTP, along with virtualized broadband access solutions and distributed multiple access architectures;</w:t>
      </w:r>
    </w:p>
    <w:p>
      <w:pPr>
        <w:spacing w:after="0" w:line="94" w:lineRule="exact"/>
        <w:rPr>
          <w:rFonts w:ascii="Times New Roman" w:cs="Times New Roman" w:eastAsia="Times New Roman" w:hAnsi="Times New Roman"/>
          <w:sz w:val="18"/>
          <w:szCs w:val="18"/>
          <w:color w:val="auto"/>
        </w:rPr>
      </w:pPr>
    </w:p>
    <w:p>
      <w:pPr>
        <w:ind w:left="620" w:right="280" w:hanging="148"/>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regulators and governments in the United States and internationally to encourage the adoption of broadband and digital technologies, including 5G broadband networks, as well as to regulate broadband access and delivery;</w:t>
      </w:r>
    </w:p>
    <w:p>
      <w:pPr>
        <w:spacing w:after="0" w:line="9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develop partnerships with other companies involved in broadband services and infrastructure workflow; and</w:t>
      </w:r>
    </w:p>
    <w:p>
      <w:pPr>
        <w:spacing w:after="0" w:line="144" w:lineRule="exact"/>
        <w:rPr>
          <w:rFonts w:ascii="Times New Roman" w:cs="Times New Roman" w:eastAsia="Times New Roman" w:hAnsi="Times New Roman"/>
          <w:sz w:val="18"/>
          <w:szCs w:val="18"/>
          <w:color w:val="auto"/>
        </w:rPr>
      </w:pPr>
    </w:p>
    <w:p>
      <w:pPr>
        <w:ind w:left="620" w:right="260" w:hanging="148"/>
        <w:spacing w:after="0" w:line="282"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nature of regulatory attitudes towards issues such as network neutrality, competition between operators, access by third parties to networks of other operators, local franchising requirements for telcos to offer video, and other new services, such as mobile video</w:t>
      </w:r>
    </w:p>
    <w:p>
      <w:pPr>
        <w:spacing w:after="0" w:line="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we fail to recognize and respond to these trends, by timely developing products, features and services required by these trends, we are likely to lose revenue opportunities and our operating results, financial condition and cash flows could be materially and adversely affected.</w:t>
      </w:r>
    </w:p>
    <w:p>
      <w:pPr>
        <w:spacing w:after="0" w:line="21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software-based broadband access product initiatives expose us to certain technology transition risks that may adversely impact our operating results, financial condition and cash flows</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our cOS software-based broadband access solutions, supporting centralized, DAA or hybrid configurations, will continue to significantly reduce broadband operator headend costs and increase operational efficiency, and are an important step in operators’ transition to all-IP networks. If we are unsuccessful in continuing to innovate, develop, and deploy our broadband access solutions in a timely manner, or are otherwise delayed in making our solutions available to our customers, our business may be adversely impacted, particularly if our competitors develop and market similar or superior products and solutions.</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our software-based broadband access solutions will continue to replace and make obsolete current CMTS solutions, which is a market our products have historically not addressed, as well as cable edge-QAM products. If demand for our software-based broadband access solutions is weaker than expected, our near and long-term operating results, financial condition and cash flows could be adversely impacted. Moreover, if competitors adapt new broadband industry technology standards into competing broadband access solutions faster than we do, or if they promulgate a new or competitive architecture for next-generation broadband access solutions that renders our cOS solution obsolete, our business may be adversely impacted.</w:t>
      </w:r>
    </w:p>
    <w:p>
      <w:pPr>
        <w:spacing w:after="0" w:line="1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sales cycle for our cOS solutions tends to be long. For broadband operators, upgrading or expanding network infrastructure is complex and expensive, and investing in a cOS solution is a significant strategic decision that may require considerable time to evaluate, test and qualify. Potential customers need to ensure our cOS solution will interoperate with the various components of its existing network infrastructure, including third-party equipment, servers and software. In addition, since we are a relatively new entrant into the broadband access market, we need to demonstrate significant performance, functionality and/or cost advantages with our cOS solutions that outweigh customer switching costs. If sales cycles are significantly longer than anticipated or we are otherwise unsuccessful in growing our cOS sales, our operating results, financial condition and cash flows could be materially and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fluctuate significantly and, as a result, may fail to meet or exceed the expectations of securities analysts or investors, causing our stock price to decline.</w:t>
      </w:r>
    </w:p>
    <w:p>
      <w:pPr>
        <w:spacing w:after="0" w:line="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continue to fluctuate in the future, on an annual and a quarterly basis, as a result of several factors, many of which are outside of our control. Some of the factors that may cause these fluctuations include:</w:t>
      </w:r>
    </w:p>
    <w:p>
      <w:pPr>
        <w:spacing w:after="0" w:line="81" w:lineRule="exact"/>
        <w:rPr>
          <w:sz w:val="20"/>
          <w:szCs w:val="20"/>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spending of our customers in the United States, Europe and in other markets;</w:t>
      </w:r>
    </w:p>
    <w:p>
      <w:pPr>
        <w:spacing w:after="0" w:line="157" w:lineRule="exact"/>
        <w:rPr>
          <w:rFonts w:ascii="Times New Roman" w:cs="Times New Roman" w:eastAsia="Times New Roman" w:hAnsi="Times New Roman"/>
          <w:sz w:val="18"/>
          <w:szCs w:val="18"/>
          <w:color w:val="auto"/>
        </w:rPr>
      </w:pPr>
    </w:p>
    <w:p>
      <w:pPr>
        <w:ind w:left="620" w:right="120" w:hanging="148"/>
        <w:spacing w:after="0" w:line="258"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financial conditions specific to each of the cable and telecommunication industries; general economic and financial market conditions, including impacts from the Middle East and Russia-Ukraine conflicts and related risks of escalation or broader regional conflicts, tensions between China and Taiwan and China and the United States; changes in tariffs and trade policies; bank insolvencies and related uncertainty and volatility in the financial services sector; inflation; and government and business responses thereto as well as related supply chain and labor shortage issues;</w:t>
      </w:r>
    </w:p>
    <w:p>
      <w:pPr>
        <w:spacing w:after="0" w:line="115"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and demand for our products or our customers’ services or products;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orders, especially from large individual transactions and transactions with our significant customers;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 and the effect it has on gross margins;</w:t>
      </w:r>
    </w:p>
    <w:p>
      <w:pPr>
        <w:spacing w:after="0" w:line="157" w:lineRule="exact"/>
        <w:rPr>
          <w:rFonts w:ascii="Times New Roman" w:cs="Times New Roman" w:eastAsia="Times New Roman" w:hAnsi="Times New Roman"/>
          <w:sz w:val="18"/>
          <w:szCs w:val="18"/>
          <w:color w:val="auto"/>
        </w:rPr>
      </w:pPr>
    </w:p>
    <w:p>
      <w:pPr>
        <w:ind w:left="620" w:right="100" w:hanging="148"/>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including revenue recognition on sales arrangements and from transactions with significant service and support components, which may span several quarters;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our customers’ projects;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each customer product upgrade cycle and the volume of purchases during the cycle;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market conditions, including pricing actions by our competitors;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our domestic and international revenue;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our competitors or by us;</w:t>
      </w:r>
    </w:p>
    <w:p>
      <w:pPr>
        <w:spacing w:after="0" w:line="157" w:lineRule="exact"/>
        <w:rPr>
          <w:rFonts w:ascii="Times New Roman" w:cs="Times New Roman" w:eastAsia="Times New Roman" w:hAnsi="Times New Roman"/>
          <w:sz w:val="18"/>
          <w:szCs w:val="18"/>
          <w:color w:val="auto"/>
        </w:rPr>
      </w:pPr>
    </w:p>
    <w:p>
      <w:pPr>
        <w:ind w:left="620" w:right="140" w:hanging="148"/>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European Union due to unrest or violence in Ukraine that the ongoing military conflict with the Russian Federation has caused, which could adversely affect our results, financial condition and prospects;</w:t>
      </w:r>
    </w:p>
    <w:p>
      <w:pPr>
        <w:spacing w:after="0" w:line="80" w:lineRule="exact"/>
        <w:rPr>
          <w:rFonts w:ascii="Times New Roman" w:cs="Times New Roman" w:eastAsia="Times New Roman" w:hAnsi="Times New Roman"/>
          <w:sz w:val="18"/>
          <w:szCs w:val="18"/>
          <w:color w:val="auto"/>
        </w:rPr>
      </w:pPr>
    </w:p>
    <w:p>
      <w:pPr>
        <w:ind w:left="620" w:right="340" w:hanging="148"/>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Middle East due to the latest developments in the conflicts in the region and the risk of escalation and broader conflict in the Middle East, which could also adversely affect our results, financial condition and prospects;</w:t>
      </w:r>
    </w:p>
    <w:p>
      <w:pPr>
        <w:spacing w:after="0" w:line="9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regulatory environments affecting our business;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of new services, new standards and system architectures by our customers;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timely availability to us of components, subassemblies and modules;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customer base, by industry and size, and sales channels;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operating and extraordinary expenses;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acquisitions and dispositions by us and the financial impact of such transactions;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such as related litigation expenses and settlement costs;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and investments;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right="40" w:hanging="14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federal tax rate, including as a result of changes in our valuation allowance against our deferred tax assets, and changes in our effective state tax rates, including as a result of apportionment;</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tax rules related to the deferral of foreign earnings and compliance with foreign tax rules;</w:t>
      </w:r>
    </w:p>
    <w:p>
      <w:pPr>
        <w:spacing w:after="0" w:line="157" w:lineRule="exact"/>
        <w:rPr>
          <w:rFonts w:ascii="Times New Roman" w:cs="Times New Roman" w:eastAsia="Times New Roman" w:hAnsi="Times New Roman"/>
          <w:sz w:val="18"/>
          <w:szCs w:val="18"/>
          <w:color w:val="auto"/>
        </w:rPr>
      </w:pPr>
    </w:p>
    <w:p>
      <w:pPr>
        <w:ind w:left="620" w:right="100" w:hanging="14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accounting guidance on accounting for uncertainty in income taxes that requires us to establish reserves for uncertain tax positions and accrue potential tax penalties and interest; and</w:t>
      </w:r>
    </w:p>
    <w:p>
      <w:pPr>
        <w:spacing w:after="0" w:line="94" w:lineRule="exact"/>
        <w:rPr>
          <w:rFonts w:ascii="Times New Roman" w:cs="Times New Roman" w:eastAsia="Times New Roman" w:hAnsi="Times New Roman"/>
          <w:sz w:val="18"/>
          <w:szCs w:val="18"/>
          <w:color w:val="auto"/>
        </w:rPr>
      </w:pPr>
    </w:p>
    <w:p>
      <w:pPr>
        <w:ind w:left="620" w:right="120" w:hanging="14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applicable accounting guidance on business combinations that requires us to record charges for certain acquisition related costs and expenses and generally to expense restructuring costs associated with a business combination subsequent to the acquisition date.</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timing of deployment of our products by our customers can be subject to a number of other risks, including the availability of skilled engineering and technical personnel, and the availability of third-party equipment and services.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often recognize a substantial portion of our quarterly revenue in the last month of the quarter. We establish our expenditure levels for product development and other operating expenses based on projected revenue levels for a specified period, and expenses are relatively fixed in the short term. Accordingly, even small variations in the timing of revenue, particularly from relatively large individual transactions, can cause significant fluctuations in operating results in a particular quarter.</w:t>
      </w:r>
    </w:p>
    <w:p>
      <w:pPr>
        <w:spacing w:after="0" w:line="1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a result of these factors and other factors, our operating results in one or more future periods may fail to meet or exceed the expectations of securities analysts or investors. In that event, the trading price of our common stock would likely decline.</w:t>
      </w:r>
    </w:p>
    <w:p>
      <w:pPr>
        <w:spacing w:after="0" w:line="21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several key components, subassemblies and modules used in the manufacture or integration of our products from sole or limited sources, and we rely on contract manufacturers and other subcontractors. Our components may be subject to price fluctuations, shortages or interruptions of supply, including as a result of geopolitical instability and the use and evolution of AI.</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reliance on sole or limited suppliers, particularly foreign suppliers, and our reliance on contractors for manufacturing and installation of our products, involves several risks, including a potential inability to obtain an adequate supply of required components, subassemblies or modules; reduced control over costs, quality and timely delivery of components, subassemblies or modules; supplier discontinuation of components, subassemblies or modules we require; and timely installation of products.</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financial results may be impacted by tariffs imposed by the United States on goods from other countries and tariffs imposed by other countries on U.S. goods. Plexus Services Corp. (“Plexus”), which manufactures our products at its facilities in Malaysia, currently serves as our primary contract manufacturer, and currently accounts for a majority, by dollar amount, of the products that we purchase from our contract manufacturers. Since February 2025, the U.S. government has and may continue to impose tariffs on countries globally. We are closely monitoring U.S. tariff policies, and retaliatory tariffs and actions from U.S. trading partners, which could have an adverse impact on our business and financial results. The full impact of these tariff measures on our business is uncertain. Further U.S. government investigations are currently underway that may result in new tariffs on certain products, including semiconductors, computers, and other products derivative of critical minerals.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can be no assurances that these disruptions will not continue or increase in the future, including with respect to countries with which we do business. The degree to which these changes in the global marketplace affect our financial results will be influenced by the specific details of the changes in trade policies, their timing and duration, and our effectiveness in deploying strategies to address these issues. During the fiscal year 2025, we experienced a moderate increase in tariff-related costs due to U.S. tariff policies. Further increases in or expansion of tariffs on products or components that we import, including those obtained from a sole supplier or a limited group of suppliers, or our contract manufacturers, that we are unable to mitigate through our sourcing and supply chain optimization strategies could result in additional increased costs, reduced revenues and/or the need to raise prices, any of which could have an adverse effect on our business, financial condition and operating results.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risks could be heightened during a substantial economic slowdown, which may be caused or exacerbated by the above-noted changes in the tariff and trade policies of the United States or its trading partners, because our suppliers and subcontractors are more likely to experience adverse changes in their financial condition and operations during such a period. Further, these risks could materially and adversely affect our business if one of our sole sources, or a sole source of one of our suppliers or contract manufacturers, is adversely affected by a natural disaster, public health crises, political crises, or other unforeseen events. These risks could also be heightened by geopolitical factors. For example, a number of the components we use in our products are sourced through Taiwan. Deterioration of relations between Taiwan and China and the United States, the resulting actions taken by any of these parties, and other factors affecting the political or economic conditions of Taiwan in the future, could adversely impact our supply chain, international sales and operations. While we expend resources to qualify additional component sources, consolidation of suppliers and the small number of viable alternatives have limited the results of these efforts. Managing our supplier and contractor relationships is particularly difficult during time periods in which we introduce new products and during time periods in which demand for our products is increasing, especially if demand increases more quickly than we expect.</w:t>
      </w:r>
    </w:p>
    <w:p>
      <w:pPr>
        <w:spacing w:after="0" w:line="11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From time to time, we assess our relationship with our contract manufacturers, and we do not generally maintain long-term agreements with any of our suppliers or contract manufacturers. Our agreement with Plexus has automatic annual renewals, unless prior notice is given by either party, and has been automatically renewed for a term expiring in October 2026.</w:t>
      </w:r>
    </w:p>
    <w:p>
      <w:pPr>
        <w:spacing w:after="0" w:line="10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Moreover, our products that use components may experience price fluctuations, shortages, or interruptions of supply. Geopolitical instability and the global use and evolution of AI has at times contributed to a reduction of components for our products, which may in turn increase costs, extend manufacturing lead times, and make it difficult for us to accurately project component demand and anticipate our needs. As AI-driven demand for chips and other components increases, the price of components may increase, or the components may not be available at all, and we may not be able to secure an adequate supply of components at reasonable prices or of acceptable quality to build and deliver products in a timely manner in the qualities needed. We may not be able to diversify our component parts in a timely manner, which could harm our ability to produce or timely deliver our products to customers, impacting future sales. As a result, we may lose sales and experience increased component costs, which in turn may cause our revenue and gross margins to suffer.</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Difficulties in managing relationships with any of our current contract manufacturers, particularly Plexus, that manufacture our products off-shore, or any of our suppliers of key components, subassemblies and modules used in our products, could impede our ability to meet our customers’ requirements and adversely affect our operating results. An inability to obtain adequate and timely deliveries of our products or any components or materials used in our products, or the inability of any of our contract manufacturers to scale their production to meet demand, or any other circumstance that would require us to seek alternative sources of supply, would negatively affect our ability to ship our products on a timely basis, which could damage relationships with current and prospective customers and harm our business and materially and adversely affect our revenue and other operating results. Furthermore, if we fail to meet customers’ supply expectations, our revenue would be adversely affected and we may lose sales opportunities, both short and long term, which could materially and adversely affect our business and our operating results, financial condition and cash flows. Increases, from time to time, in demand on our suppliers and subcontractors from our customers or from other parties have, on occasion, caused delays in the availability of certain components and products. In response, we may increase our inventories of certain components and products and expedite shipments of our products when necessary. These actions could increase our costs and could also increase our risk of holding obsolete or excess inventory, which, despite our use of a demand order fulfillment model, could materially and adversely affect our business, operating results, financial condition and cash flows.</w:t>
      </w: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facilities and employees located in Israel.</w:t>
      </w:r>
    </w:p>
    <w:p>
      <w:pPr>
        <w:spacing w:after="0" w:line="162"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As of December 31, 2025, we maintained facilities in Israel with a total of 200 employees, or approximately 37% of our worldwide workforce. Our employees in Israel engage in a number of activities, including research and development, product development, product management, supply chain management for certain product lines and sales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such, we are directly affected by the political, economic and military conditions affecting Israel, such as the ongoing conflict in the Middle East and the risk of escalation and broader conflict in the region. Any significant conflict involving Israel could have a direct effect on our business, in the form of physical damage to our facilities or injury to personnel, restrictions from traveling or reluctance to travel to, from, or within Israel by our Israeli and other employees or those of our subcontractors, or the loss of Israeli employees to active military duty. Most of our employees in Israel are currently obligated to perform annual reserve duty in the Israel Defense Forces. In 2025, approximately 10% of our employees in Israel were called for military duty in connection with the current conflict in the Middle East, and in the event that more of our employees are called to active duty, certain of our research and development, product development and testing and other activities may be significantly delayed and adversely affected. Further, the interruption or curtailment of supply chains or trade between Israel and its trading partners, as a result of terrorist attacks or hostilities, conflicts between Israel and any other Middle Eastern country or organization, or any other cause, could significantly harm our business. Additionally, current or future tensions or conflicts in the Middle East, could materially and adversely affect our business, operating results, financial condition and cash flows.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having outsourced engineering resources located in Ukraine.</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outsource a portion of our research and development and product support activities to our third-party partner, GlobalLogic, a Hitachi group company. Through GlobalLogic, we have a significant number of engineering resources located in Kyiv, Ukraine. Political, social and economic instability and unrest or violence in Ukraine from the ongoing military conflict with the Russian Federation have caused, and may continue to cause, disruptions to the business and operations of GlobalLogic, which could slow or delay the development work our outsourced engineering teams are undertaking for us. Any escalation of political tensions, military activity, instability, unrest or conflict could disrupt or prevent the work of our outsourced engineering teams; limit or prevent our employees from traveling to, from, or within Ukraine to direct and coordinate our outsourced engineering teams; or cause us to shift all or portions of the development work occurring in Ukraine, and/or cause GlobalLogic to relocate personnel to other locations or countries pursuant to its business continuity plans. Any resulting delays could negatively impact our product development efforts, operating results and our business. In addition, increased costs associated with managing or relocating our outsourced engineering teams in Ukraine, or engaging with alternative engineering resources outside of Ukraine, could negatively impact our operating results and financial condition.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operations.</w:t>
      </w:r>
    </w:p>
    <w:p>
      <w:pPr>
        <w:spacing w:after="0" w:line="16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As of December 31, 2025, we had 350 employees in our international operations, representing approximately 66% of our worldwide workforce. Our ability to manage our business effectively in the future, including with respect to any future growth, our operation as both a hardware and increasingly software and SaaS-centric business, the integration of any acquisition efforts, and the breadth of our international operations, will require us to train, motivate and manage our employees successfully, to attract and integrate new employees into our overall operations, to retain key employees and to continue to improve and evolve our operational, financial and management systems. There can be no assurance that we will be successful in any of these efforts, and our failure to effectively manage our operations could have a material and adverse effect on our business, operating results, cash flows and financial condition.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order to manage our growth, we must be successful in addressing management succession issues and attracting and retaining qualified personnel.</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future success will depend, to a significant extent, on the ability of our management to operate effectively, both individually and as a group. We must successfully manage transition and replacement issues that may result from the departure or retirement of members of our executive management. Any significant leadership change or senior management transition involves inherent risks and any failure to ensure timely and suitable replacements and smooth transition could hinder our strategic planning, business execution, and future performance. We cannot provide assurances that any current or future changes of management personnel will not cause disruption to operations or customer relationships or a decline in our operating results.</w:t>
      </w:r>
    </w:p>
    <w:p>
      <w:pPr>
        <w:spacing w:after="0" w:line="1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also dependent on our ability to retain and motivate our existing highly qualified personnel, in addition to attracting new highly qualified personnel. Competition for qualified management, technical and other personnel is often intense, particularly in Israel where we have significant research and development activities, and we may not be successful in attracting and retaining such personnel. Competitors and others have in the past attempted, and are likely in the future to attempt, to recruit our employees. While our employees are required to sign standard agreements concerning confidentiality, non-solicitation and ownership of inventions, other than in Israel, we generally do not have non-competition agreements with our personnel. The loss of the services of any of our key personnel, the inability to attract or retain highly qualified personnel in the future or delays in hiring such personnel, particularly senior management and engineers and other technical personnel, could negatively affect our business and operating results. Furthermore, a certain portion of our personnel in the United States is comprised of foreign nationals whose ability to work for us depends on obtaining the necessary visas. Our ability to hire and retain foreign nationals in the United States, and their ability to remain and work in the United States, is affected by various laws and regulations, including limitations on the availability of visas. Changes in U.S. laws or regulations affecting the availability of visas have, and may continue to adversely affect, our ability to hire or retain key personnel and as a result may impair our operations.</w:t>
      </w:r>
    </w:p>
    <w:p>
      <w:pPr>
        <w:spacing w:after="0" w:line="24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include third-party technology and intellectual property, and our inability to acquire new technologies or use third-party technology in the future could harm our business.</w:t>
      </w: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successfully develop and market certain of our planned products, we may be required to enter into technology development or licensing agreements with third parties. Although companies with technology useful to us are often willing to enter into technology development or licensing agreements with respect to such technology, we cannot provide assurances that such agreements may be negotiated on commercially reasonable terms, or at all. The failure to enter, or a delay in entering, into such technology development or licensing agreements, when necessary or desirable, could limit our ability to develop and market new products and could materially and adversely affect our business.</w:t>
      </w:r>
    </w:p>
    <w:p>
      <w:pPr>
        <w:spacing w:after="0" w:line="11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incorporate certain third-party technologies, including software programs, into our products, and, as noted, intend to utilize additional third-party technologies in the future. In addition, the technologies that we license may not operate properly or as specified, and we may not be able to secure alternatives in a timely manner, either of which could harm our business. We could face delays in product releases until alternative technology can be identified, licensed or developed, and integrated into our products, if we are able to do so at all. These delays, or a failure to secure or develop adequate technology, could materially and adversely affect our business, operating results, financial condition and cash flows.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or computer viruses, could harm our business by disrupting our business operations, compromising our products and services, damaging our reputation or exposing us to liability.</w:t>
      </w:r>
    </w:p>
    <w:p>
      <w:pPr>
        <w:spacing w:after="0" w:line="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Additionally, geopolitical events such as the Middle East and Russia-Ukraine conflicts and heightened tension between Israel and Iran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w:t>
      </w:r>
    </w:p>
    <w:p>
      <w:pPr>
        <w:spacing w:after="0" w:line="11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security breaches and incidents, computer viruses, denial-of-service attacks, or disruptions from unauthorized tampering or human error, our ability to conduct our business effectively could be damaged in a number of ways, including:</w:t>
      </w:r>
    </w:p>
    <w:p>
      <w:pPr>
        <w:spacing w:after="0" w:line="112" w:lineRule="exact"/>
        <w:rPr>
          <w:sz w:val="20"/>
          <w:szCs w:val="20"/>
          <w:color w:val="auto"/>
        </w:rPr>
      </w:pPr>
    </w:p>
    <w:p>
      <w:pPr>
        <w:ind w:left="620" w:hanging="14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other proprietary data, or financial assets, could be stolen, lost, altered, or otherwise unavailable;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conduct our business operations could be seriously disrupted;</w:t>
      </w:r>
    </w:p>
    <w:p>
      <w:pPr>
        <w:spacing w:after="0" w:line="144" w:lineRule="exact"/>
        <w:rPr>
          <w:rFonts w:ascii="Times New Roman" w:cs="Times New Roman" w:eastAsia="Times New Roman" w:hAnsi="Times New Roman"/>
          <w:sz w:val="18"/>
          <w:szCs w:val="18"/>
          <w:color w:val="auto"/>
        </w:rPr>
      </w:pPr>
    </w:p>
    <w:p>
      <w:pPr>
        <w:ind w:left="620" w:right="540" w:hanging="148"/>
        <w:spacing w:after="0" w:line="282"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and security vulnerabilities could be introduced into our product, software and SaaS offerings, thereby damaging the reputation and perceived reliability and security of our products; and</w:t>
      </w:r>
    </w:p>
    <w:p>
      <w:pPr>
        <w:spacing w:after="0" w:line="94" w:lineRule="exact"/>
        <w:rPr>
          <w:rFonts w:ascii="Times New Roman" w:cs="Times New Roman" w:eastAsia="Times New Roman" w:hAnsi="Times New Roman"/>
          <w:sz w:val="18"/>
          <w:szCs w:val="18"/>
          <w:color w:val="auto"/>
        </w:rPr>
      </w:pPr>
    </w:p>
    <w:p>
      <w:pPr>
        <w:ind w:left="620" w:hanging="148"/>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w:t>
      </w:r>
    </w:p>
    <w:p>
      <w:pPr>
        <w:spacing w:after="0" w:line="23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natural disasters affecting us or impacting our third-party manufacturers, suppliers, resellers or customers.</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California, which is prone to earthquakes. In addition, climate change is contributing to an increase in erratic weather patterns globally and intensifying the impact of certain types of catastrophes, such as floods, wildfires and droughts. We have employees, consultants and contractors located in regions and countries around the world. In the event that any of our business, sales or research and development centers or offices in the United States or internationally are adversely affected by an earthquake, flood, wildfire or by any other natural disaster, we may sustain damage to our operations and properties, which could cause a sustained interruption or loss of affected operations, and cause us to suffer significant financial losses.</w:t>
      </w:r>
    </w:p>
    <w:p>
      <w:pPr>
        <w:spacing w:after="0" w:line="12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rely on third-party contract manufacturers for the production of our products. Any significant disruption in the business or operations of such manufacturers or of their or our suppliers could adversely impact our business. Our principal contract manufacturers and several of their and our suppliers and our resellers have operations in locations that are subject to natural disasters, such as severe weather, tsunamis, floods, fires and earthquakes, which could disrupt their operations and, in turn, our operations.</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there is a natural disaster in any of the locations in which our significant customers are located, we face the risk that our customers may incur losses or sustained business interruption, or both, which may materially impair their ability to continue their purchase of products from us. Accordingly, natural disaster in one of the geographies in which we, or our third-party manufacturers, their or our suppliers or our customers, operate could have a material and adverse effect on our business, operating results, cash flows and financial condition.</w:t>
      </w:r>
    </w:p>
    <w:p>
      <w:pPr>
        <w:spacing w:after="0" w:line="2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Financial, Transactional and Tax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may not be able to secure adequate funds at all or on terms acceptable to us.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engage in the design, development and manufacture and sale of a variety broadband access products and system solutions, which has required, and will continue to require, significant research and development expenditures.</w:t>
      </w:r>
    </w:p>
    <w:p>
      <w:pPr>
        <w:spacing w:after="0" w:line="9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are monitoring and managing our cash position in light of ongoing market conditions due to general economic and market conditions, volatility and uncertainty in the banking and financial services sector, overall fluctuations in U.S. equity markets, the Middle East and Russia-Ukraine conflicts, and related macroeconomic conditions. We believe that our existing cash of approximately $124.1 million as of December 31, 2025 will satisfy our cash requirements for at least the next twelve months. However, we may need to raise additional funds to take advantage of presently unanticipated strategic opportunities, satisfy our other cash requirements from time to time, or strengthen our financial position. Our ability to raise funds may be adversely affected by a number of factors, including factors beyond our control, such as weakness in the economic conditions in markets in which we sell our products, bank failures and continued uncertainty in financial, capital and credit markets. There can be no assurance that equity or debt financing will be available to us on reasonable terms, if at all, when and if it is needed.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raise additional financing through public or private equity or convertible debt offerings, debt financings, or corporate partnership or licensing arrangements. To the extent we raise additional capital by issuing equity securities or convertible debt, our stockholders may experience dilution, and any new equity or convertible debt securities we issue could have rights, preferences, and privileges superior to holders of our common stock. Further, volatility in equity capital markets may adversely affect market prices of our common stock. This may materially and adversely affect our ability to raise additional capital through public or private equity offerings. To the extent that we raise additional funds through collaboration and licensing arrangements, it may be necessary to relinquish some rights to our technologies or products, or grant licenses on terms that are not favorable to us. Our current debt agreements require, and any debt financing that we secure in the future may require us to pledge assets or enter into covenants that could restrict our operations or our ability to incur further indebtedness and our interest obligations with respect to such debt may adversely affect our operating results. Further, high interest rates and tightening credit markets may reduce our access to debt financing, which may adversely affect our future business plans and expected growth and would increase the cost of fixed rate and/or variable rate borrowings, which could reduce our earnings.</w:t>
      </w:r>
    </w:p>
    <w:p>
      <w:pPr>
        <w:spacing w:after="0" w:line="11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adequate capital is not available, or is not available on reasonable terms, when needed, we may not be able to take advantage of acquisitions or other market opportunities, to timely develop new products, or to otherwise respond to competitive pressures.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imposes operating and financial restrictions on us.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21, 2023, we entered into a Credit Agreement, among the Company, certain subsidiaries of the Company from time to time party thereto, the lenders party thereto from time to time and Citibank, N.A., as administrative agent (the “Credit Agreement”). The obligations under the Credit Agreement and the other loan documents are required to be guaranteed by certain of our material subsidiaries and secured by substantially all of the assets of the Company and such subsidiary guarantors. As amended in December 2024, the Credit Agreement provides for a $160.0 million secured revolving loan facility (the “Revolving Facility”), with a $10.0 million sublimit for the issuance of letters of credit, and a $40.0 million secured delayed draw term loan facility (the “Term Facility”). To finance the settlement of the conversions of the 2024 Notes in connection with our delivery of the notice of redemption for such 2024 Notes, we drew down $75.0 million on the Revolving Facility and $40.0 million on the Term Facility, respectively. As of December 31, 2025, we had $82.0 million remaining available for borrowing under the Revolving Facility and no remaining amounts available for borrowing under the Term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Agreement contains covenants that limit our ability and the ability of our subsidiaries to, subject to certain limitations and exceptions:</w:t>
      </w:r>
    </w:p>
    <w:p>
      <w:pPr>
        <w:spacing w:after="0" w:line="144" w:lineRule="exact"/>
        <w:rPr>
          <w:sz w:val="20"/>
          <w:szCs w:val="20"/>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and other investments;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certain fundamental changes;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burdensome agreements.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the Credit Agreement contains financial covenants that require compliance with a maximum consolidated net leverage ratio and minimum fixed charge coverage ratio, in each case, determined in accordance with the terms of the Credit Agreement. These covenants may adversely affect our ability to finance our operations, meet or otherwise address our capital needs, pursue business opportunities or react to market conditions, or otherwise restrict our activities or business plans. In addition, our obligations to repay principal and interest on our indebtedness could make us vulnerable to economic or market downturns.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Credit Agreement. As of December 31, 2025, we were in compliance with all covenants under the Credit Agreement; however, if an event of default occurs, the lenders may terminate their commitments and accelerate our obligations under the Credit Agreement. We might not be able to repay our debt or borrow sufficient funds to refinance it on terms that are acceptable to us.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any amounts borrowed under our Credit Agreement,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our ability to borrow under the terms of the Credit Agreement, the capital markets and our financial condition at such time. We may not be able to engage in any of these activities or engage in these activities on desirable terms, which could result in a default on our debt obligations, including any outstanding loans under the Credit Agreement.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Despite our current debt levels, we may still incur substantially more debt or take other actions which would intensify the risks discussed above.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Despite our current consolidated debt levels, we and our subsidiaries may be able to incur substantial additional debt in the future, subject to the restrictions contained in our debt instruments, some of which may be secured debt. Such additional indebtedness could have the effect of diminishing our ability to make payments on our debt when due. Our Credit Agreement permits us to incur certain additional indebtedness and grant certain liens on our assets, subject to limitations and requirements as set forth in the Credit Agreement, that could intensify the risks discussed above.</w:t>
      </w:r>
    </w:p>
    <w:p>
      <w:pPr>
        <w:spacing w:after="0" w:line="23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and may continue to make, acquisitions, and any acquisition could disrupt our operations, cause dilution to our stockholders and materially and adversely affect our business, operating results, cash flows and financial condition.</w:t>
      </w:r>
    </w:p>
    <w:p>
      <w:pPr>
        <w:spacing w:after="0" w:line="9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from time to time we have acquired, and we may continue to acquire, businesses, technologies, assets and product lines that we believe complement or expand our existing business. Acquisitions involve numerous risks, including the following:</w:t>
      </w:r>
    </w:p>
    <w:p>
      <w:pPr>
        <w:spacing w:after="0" w:line="81" w:lineRule="exact"/>
        <w:rPr>
          <w:sz w:val="20"/>
          <w:szCs w:val="20"/>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delays associated with an acquisition;</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and integration of acquired operations, technologies and/or products;</w:t>
      </w:r>
    </w:p>
    <w:p>
      <w:pPr>
        <w:spacing w:after="0" w:line="157" w:lineRule="exact"/>
        <w:rPr>
          <w:rFonts w:ascii="Times New Roman" w:cs="Times New Roman" w:eastAsia="Times New Roman" w:hAnsi="Times New Roman"/>
          <w:sz w:val="18"/>
          <w:szCs w:val="18"/>
          <w:color w:val="auto"/>
        </w:rPr>
      </w:pPr>
    </w:p>
    <w:p>
      <w:pPr>
        <w:ind w:left="620" w:right="100" w:hanging="148"/>
        <w:spacing w:after="0" w:line="282"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business and the diversion of management’s attention from the regular operations of the business during the acquisition process;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managing a larger and more geographically widespread operation and product portfolio after the closing of the acquisition;</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new and existing business relationships with suppliers, contract manufacturers, resellers, partners and customers;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such as local employment regulations and organized labor requirements;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may have no or limited prior experience;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acquired businesses and our own business as a result of integration;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right="220" w:hanging="148"/>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bringing acquired products and businesses into compliance with applicable legal requirements in jurisdictions in which we operate and sell products;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known potential liabilities or unknown liabilities, including litigation and infringement claims, associated with companies we acquire;</w:t>
      </w:r>
    </w:p>
    <w:p>
      <w:pPr>
        <w:spacing w:after="0" w:line="157" w:lineRule="exact"/>
        <w:rPr>
          <w:rFonts w:ascii="Times New Roman" w:cs="Times New Roman" w:eastAsia="Times New Roman" w:hAnsi="Times New Roman"/>
          <w:sz w:val="18"/>
          <w:szCs w:val="18"/>
          <w:color w:val="auto"/>
        </w:rPr>
      </w:pPr>
    </w:p>
    <w:p>
      <w:pPr>
        <w:ind w:left="620" w:right="460" w:hanging="148"/>
        <w:spacing w:after="0" w:line="282"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charges for acquisition costs or for the amortization of certain purchased intangible assets, deferred stock compensation or similar items;</w:t>
      </w:r>
    </w:p>
    <w:p>
      <w:pPr>
        <w:spacing w:after="0" w:line="9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impairments to goodwill or intangible assets in the event that an acquisition proves to be less valuable than the price we paid for it;</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and maintaining uniform financial and other standards, controls, procedures and policies;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or failure to realize, the anticipated benefits of an acquisition; and</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acquisition may be viewed negatively by our customers or investors or the financial markets.</w:t>
      </w:r>
    </w:p>
    <w:p>
      <w:pPr>
        <w:spacing w:after="0" w:line="1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Competition within our industry for acquisitions of businesses, technologies, assets and product lines has been, and is likely to continue to be, intense. As such, even if we are able to identify an acquisition that we would like to consummate, we may not be able to complete the acquisition on commercially reasonable terms or because the target chooses to be acquired by another company. Furthermore, in the event that we are able to identify and consummate any future acquisitions, we may, in each of those acquisitions:</w:t>
      </w:r>
    </w:p>
    <w:p>
      <w:pPr>
        <w:spacing w:after="0" w:line="112" w:lineRule="exact"/>
        <w:rPr>
          <w:sz w:val="20"/>
          <w:szCs w:val="20"/>
          <w:color w:val="auto"/>
        </w:rPr>
      </w:pPr>
    </w:p>
    <w:p>
      <w:pPr>
        <w:ind w:left="620" w:hanging="14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would dilute current stockholders’ percentage ownership;</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to finance the acquisition or assume substantial debt in the acquisition;</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acquisition-related expenses;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substantial liabilities, contingent or otherwise; or</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cash.</w:t>
      </w:r>
    </w:p>
    <w:p>
      <w:pPr>
        <w:spacing w:after="0" w:line="144"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These financing activities or expenditures could materially and adversely affect our operating results, cash flows and financial condition or the price of our common stock. Alternatively, due to difficulties in the capital or credit markets that may exists at the time, we may be unable to secure capital necessary to complete an acquisition on reasonable terms, or at all. Moreover, even if we were to obtain benefits from acquisitions in the form of increased revenue and earnings per share, there may be a delay between the time the expenses associated with an acquisition are incurred and the time we recognize such benefits.</w:t>
      </w:r>
    </w:p>
    <w:p>
      <w:pPr>
        <w:spacing w:after="0" w:line="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$60.9 million of goodwill recorded on our balance sheet associated with prior acquisitions. In the event we determine that our goodwill is impaired, we would be required to write down all or a portion of such goodwill, which could result in a material non-cash charge to our results of operations in the period in which such write-down occurs.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one or more of these risks, our business, operating results, financial condition and cash flows could be materially and adversely affected.</w:t>
      </w:r>
    </w:p>
    <w:p>
      <w:pPr>
        <w:spacing w:after="0" w:line="26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United States generally accepted accounting principles (“U.S. GAAP”) are subject to interpretation by the Financial Standards Accounting Board (“FASB”), the SEC and various bodies formed to promulgate and interpret appropriate accounting principles. We are also subject to evolving rules and regulations of the countries in which we do business. Changes to accounting standards or interpretations thereof may result in different accounting principles under U.S. GAAP that have a significant effect on our reported financial results and require us to incur costs and expenses in order to comply with the updated standards or interpretations.</w:t>
      </w:r>
    </w:p>
    <w:p>
      <w:pPr>
        <w:spacing w:after="0" w:line="1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have in the past and may in the future need to modify our customer contracts, accounting systems and processes when we adopt future or proposed changes in accounting principles. The cost and effect of these changes may negatively impact our results of operations during the periods of transition.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future effective tax rates could affect our future operating results, financial condition and cash flows.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periodically review our deferred tax assets and determine whether, based on available evidence, a valuation allowance is necessary. The realization of our deferred tax assets, which are predominantly in the United States, is dependent upon the generation of sufficient U.S. and foreign taxable income in the future to offset these assets. Based on our evaluation, we recorded a net decrease in valuation allowance of $0.4 million in 2025 and a net increase of $0.5 million in 2024, respectively, against the net deferred tax assets. In 2023, there was a full release of the valuation allowance against U.S. federal and certain state deferred tax assets due to improved historical earnings and projected earnings. Changes in the amount of the valuation allowance in the U.S. and in foreign jurisdictions could result in a material non-cash expense or benefit in the period in which the valuation allowance is adjusted, and our results of operations could be materially affected.</w:t>
      </w:r>
    </w:p>
    <w:p>
      <w:pPr>
        <w:spacing w:after="0" w:line="12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calculation of tax liabilities involves dealing with uncertainties in the application of complex global tax regulations. We recognize potential liabilities for anticipated tax audit issues in the U.S. and other tax jurisdictions based on our estimate of whether, and the extent to which, additional taxes will be due. In the event we determine that it is appropriate to create a reserve or increase an existing reserve for any such potential liabilities, the amount of the additional reserve will be charged as an expense in the period in which it is determined. If payment of these amounts ultimately proves to be unnecessary, the reversal of the liabilities would result in tax benefits being recognized in the period when we determine the liabilities are no longer necessary. If the estimate of tax liabilities proves to be less than the ultimate tax assessment for the applicable period, a further charge to expense in the period such shortfall is determined would result. Either such charge to expense could have a material and adverse effect on our operating results for the applicable period.</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future effective income tax rates could be adversely affected if tax authorities challenge our international tax structure or if our relative mix of U.S. and international income changes for any reason. Accordingly, there can be no assurance that our effective income tax rate will remain consistent.</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spacing w:after="0" w:line="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Tax laws are regularly re-examined and evaluated globally. New laws and interpretations of the law are considered for financial statement purposes in the quarter or year that they are enacted.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example, effective as of January 1, 2022, the Tax Cuts and Jobs Act of 2017 eliminated the option to deduct research and development expenditures currently and requires such expenditures to be capitalized and amortized ratably over a five-year period for domestic expenditures or a fifteen-year period for foreign expenditures. However, the One Big Beautiful Bill Act of 2025, which was enacted on July 4, 2025, makes a number of changes to U.S. federal income tax law, including permanently suspending the requirement to capitalize and amortize domestic research and development costs and permitting deductions for them on a current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 the Inflation Reduction Act of 2022, among other things, imposes a one-percent non-deductible excise tax on certain repurchases of stock that are made by U.S. publicly traded corporations on or after January 1, 2023, which may affect our share repurchase program.</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(the “OECD”), the European Union, as well as a number of other countries and organizations have recently enacted new laws, and proposed or recommended changes to existing tax laws, that may increase our tax obligations in many countries where we do business or require us to change the manner in which we operate our business. For example, the OECD has introduced a framework to implement a 15% global minimum corporate tax, referred to as Pillar 2, which Member States in the European Union have implemented into national legislation as of the end of 2023 and has been adopted by certain other jurisdictions. However, on June 28, 2025, the G7 released a joint statement that it had reached an understanding with the United States for a side-by-side system based on certain accepted principles, including that U.S.-parented groups, such as ours, would be exempt from certain provisions of Pillar 2. As we expand the scale of our business activities, any changes in U.S. or foreign tax laws that apply to such activities may increase our worldwide effective tax rate and harm our business, financial condition and results of operations.</w:t>
      </w:r>
    </w:p>
    <w:p>
      <w:pPr>
        <w:spacing w:after="0" w:line="24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customers may face intellectual property infringement claims from third parties.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In particular, leading companies in the telco industry have extensive patent portfolios. Also, patent infringement claims and litigation by entities that purchase or control patents, but do not produce goods or services covered by the claims of such patents (so-called “non-practicing entities” or “NPEs”), have increased rapidly over the last decade or so. From time to time, third parties, including NPEs, have asserted, and may assert in the future, patent, copyright, trademark and other intellectual property rights against us or our customers, and have initiated audits to determine whether we have missed royalty payments for technology that we license. Our suppliers and their customers, including us, may have similar claims asserted against them. A number of third parties, including companies with greater financial and other resources than us, have asserted patent rights to technologies that are important to us.</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intellectual property litigation, regardless of its outcome, could result in substantial expense and significant diversion of the efforts of our management and technical personnel. An adverse determination in any such proceeding could subject us to significant liabilities and temporary or permanent injunctions and require us to seek licenses from third parties or pay royalties that may be substantial. Furthermore, necessary licenses may not be available on terms satisfactory to us, or at all. An unfavorable outcome on any such litigation matter could require that we pay substantial damages, could require that we pay ongoing royalty payments, or could prohibit us from selling certain of our products. Any such outcome could have a material and adverse effect on our business, operating results, financial condition and cash flows.</w:t>
      </w:r>
    </w:p>
    <w:p>
      <w:pPr>
        <w:spacing w:after="0" w:line="12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suppliers and customers may have intellectual property claims relating to our products asserted against them. We have agreed to indemnify some of our suppliers and most of our customers for patent infringement relating to our products. The scope of this indemnity varies, but, in some instances, includes indemnification for damages and expenses (including reasonable attorney’s fees) incurred by the supplier or customer in connection with such claims. If a supplier or a customer seeks to enforce a claim for indemnification against us, we could incur significant costs defending such claim, the underlying claim or both. An adverse determination in either such proceeding could subject us to significant liabilities and have a material and adverse effect on our operating results, cash flows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the subject of litigation which, if adversely determined, could harm our business and operating results.</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may be subject to claims arising in the normal course of business. The costs of defending any litigation, whether in cash expenses or in management time, could harm our business and materially and adversely affect our operating results and cash flows. An unfavorable outcome on any litigation matter could require that we pay substantial damages, or, in connection with any intellectual property infringement claims, could require that we pay ongoing royalty payments or prohibit us from selling certain of our products. In addition, we may decide to settle any litigation, which could cause us to incur significant settlement costs. A settlement or an unfavorable outcome on any litigation matter could have a material and adverse effect on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proprietary rights and data may adversely affect us.</w:t>
      </w:r>
    </w:p>
    <w:p>
      <w:pPr>
        <w:spacing w:after="0" w:line="14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As of December 31, 2025, we held 65 issued U.S. patents and 7 issued foreign patents, and had 39 patent applications pending. Although we attempt to protect our intellectual property rights through patents, trademarks, copyrights, licensing arrangements, maintaining certain technology as trade secrets and other measures, we can give no assurances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scope of the claims sought by us, if at all. We can give no assurances that others will not develop technologies that are similar or superior to our technologies, duplicate our technologies or design around the patents that we own. In addition, effective patent, copyright and trade secret protection may be unavailable or limited in certain foreign countries in which we do business or may do business in the future.</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enter into confidentiality or license agreements with our employees, consultants, and vendors and our customers, as needed, and generally limit access to, and distribution of, our proprietary information. Nevertheless, we cannot provide assurances that the steps taken by us will prevent misappropriation of our technology. In addition, we have taken in the past, and may take in the future,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management time and other resources, and could materially and adversely affect our business, operating results, financial condition and cash flows.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in some of our products may expose us to certain risks.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our products contain software modules licensed for use from third-party authors under open source licenses.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in less time and ultimately could result in a loss of product sales for us.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closely, it is possible our past, present or future use of open source has triggered or may trigger the foregoing requirements. Furthermore, the terms of many open source licenses have not been interpreted by U.S. courts, and there is a risk that such licenses could be construed in a manner that could impose unanticipated conditions or restrictions on our ability to commercialize our products. In such event, we could be required to seek licenses from third parties in order to continue offering our products, to re-engineer our products or to discontinue the sale of our products in the event re-engineering cannot be accomplished on a timely basis, any of which could materially and adversely affect our operating results, financial condition and cash flows.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import and export control and trade and economic sanction laws and regulations that could subject us to liability or impair our ability to compete in international markets.</w:t>
      </w:r>
    </w:p>
    <w:p>
      <w:pPr>
        <w:spacing w:after="0" w:line="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products are subject to U.S. export control laws, and may be exported outside the United States only with the required export license or through an export license exception, in most cases because we incorporate encryption technology into certain of our products. We are also subject to U.S. trade and economic sanction regulations which include prohibitions on the sale or supply of certain products and services to the embargoed or sanctioned countries, governments, persons and entities of the United States or of countries in which we do business. In addition, various countries regulate the import of certain technology and have enacted laws that could limit our ability to distribute our products, or could limit our customers’ ability to implement our products, in those countries. Although we take precautions and have processes in place to prevent our products and services from being provided in violation of such laws, our products have been in the past, and could in the future be, provided inadvertently in violation of such laws, despite the precautions we take.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2020, we received an administrative subpoena from the U.S. Treasury Department’s office of Foreign Assets Control (“OFAC”) requesting information about certain transactions conducted by the French company Thomson Video Network, which we acquired in early 2016 to augment our Video business, involving Iran. In February 2023, OFAC notified us that it had completed its review of these matters and closed its review with the issuance of a Cautionary Letter. If we are found to have violated U.S. export control or sanctions laws or regulations, we and certain of our employees could be subject to civil or criminal penalties, including the possible loss of export privileges, monetary penalties, and, in extreme cases, imprisonment of responsible employees for knowing and willful violations of these laws which could lead to penalties, reputational harm, loss of access to certain markets, or otherwise.</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as discussed in more detail above, we may be affected by heightened or new tariffs that could have a significant adverse impact on our operating results or, if we are able to pass on the related costs in any particular situation, would increase the cost of the related product to our customers. As a result, the future imposition of significant increases in the level of tariffs or the creation of import quotas on our products, or any of the limitations on international sales described above, could have a material adverse effect on our business, operating results, financial condition and cash flows. Further, some of our customers in Europe have been, or are being, audited by local governmental authorities regarding the tariff classifications used for importation of our products. Import duties and tariffs vary by country and a different tariff classification for any of our products may result in higher duties or tariffs, which could have an adverse impact on our operating results and potentially increase the cost of the related products to our customers.</w:t>
      </w:r>
    </w:p>
    <w:p>
      <w:pPr>
        <w:spacing w:after="0" w:line="23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industry are subject to various laws and regulations that could adversely affect our business, operating results, cash flows and financial condition.</w:t>
      </w:r>
    </w:p>
    <w:p>
      <w:pPr>
        <w:spacing w:after="0" w:line="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business and industry are regulated under various federal, state, local and international laws. For example, we are subject to environmental regulations such as the European Union’s Waste Electrical and Electronic Equipment and Restriction on the Use of Certain Hazardous Substances in Electrical and Electronic Equipment directives and similar legislation enacted in other jurisdictions worldwide. Our failure to comply with these laws could result in our being directly or indirectly liable for costs, fines or penalties and third-party claims, and could jeopardize our ability to conduct business in such regions and countries. We expect that our operations will be affected by other new environmental laws and regulations on an ongoing basis. Although we cannot predict the ultimate impact of any such new laws and regulations, they would likely result in additional costs, and could require that we redesign or change how we manufacture our products, any of which could have a material and adverse effect on our operating results, financial condition and cash flows.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subject to the Sarbanes-Oxley Act of 2002 which, among other things, requires an annual review and evaluation of our internal control over financial reporting. If we conclude in future periods that our internal control over financial reporting is not effective or if our independent registered public accounting firm is unable to provide an unqualified attestation as of future year-ends, we may incur substantial additional costs in an effort to correct such problems, and investors may lose confidence in our financial statements, and our stock price may decrease in the short term, until we correct such problems, and perhaps in the long term, as well.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research, disclose, and report whether or not our products contain certain conflict minerals sourced from the Democratic Republic of Congo or its surrounding countries. The implementation of these requirements could adversely affect the sourcing, availability, and pricing of the materials used in the manufacture of components used in our products. In addition, we may incur certain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 It is also possible that we may face reputational harm if we determine that certain of our products contain minerals not determined to be conflict-free and/or we are unable to alter our products, processes or sources of supply to avoid such materials.</w:t>
      </w:r>
    </w:p>
    <w:p>
      <w:pPr>
        <w:spacing w:after="0" w:line="1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Changes in telco legislation and regulations in the United States and other countries could affect our sales and the revenue we are able to derive from our products. In particular, 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In others, the laws may be nascent or non-existent. Furthermore, favorable laws may change, including for example, in the United States where net neutrality regulations were repealed. We cannot predict whether such laws and regulations will be modified, overturned, or vacated. The repeal of the net neutrality rules or other regulations dealing with access by competitors to the networks of incumbent operators could slow or stop infrastructure and services investments or expansion by service providers. Increased regulation of our customers’ pricing or service offerings could limit their investments and, consequently, revenue from our products. The impact of new or revised legislation or regulations could have a material adverse effect on our business, operating results, financial condition and cash flows.</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subject to laws and regulations relating to privacy, data protection, cyber security, and the collection, use, transfer, and other processing of data. These laws and regulations are subject to frequent modifications and updates and require ongoing supervision. For example, the European Union adopted a General Data Protection Regulation that became effective in May 2018, and has established new, and in some cases more stringent, requirements for data protection in Europe, and which provides for substantial penalties for noncompliance. Additionally, California has the California Consumer Privacy Act (“CCPA”), which went into effect on January 1, 2020. In November 2020, California passed the California Privacy Rights Act (“CPRA”), which went into effect on January 1, 2023. The CPRA amends and augments the CCPA including by expanding individuals’ rights and the obligations of businesses that handle personal data. Other legislation relating to these matters, in many cases general legislation similar to the CCPA, has been proposed or adopted in several other states. Aspects of the CCPA, CPRA and these other laws and regulations, as well as their enforcement, remain unclear. The U.S. federal government also is contemplating federal privacy legislation and has adopted regulations regarding certain bulk sensitive personal data transfers.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a number of legislative proposals in the United States, at both the federal and state level, and in the European Union and more globally, that could impose new obligations in areas such privacy, data protection, cybersecurity, and data processing. We cannot yet determine the impact that future laws, regulations, and standards may have on our business. For example, the European Union’s Data Act (“Data Act”) became fully applicable on September 12, 2025. Among other things, the Data Act imposes obligations relating to companies’ ability to terminate service agreements.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effects and impact of these enacted and proposed laws and regulations relating to privacy, data protection, cybersecurity, and the collection, use, transfer, and other processing of data are potentially significant and may require us to modify our data processing and cybersecurity practices and policies and to incur substantial costs and expenses in efforts to comply. Laws and regulations relating to these matters continue to evolve in various jurisdictions, with existing laws and regulations subject to new and differing interpretations and new laws and regulations being proposed and adopted. It is possible that our practices may be deemed not to comply with legal requirements relating to these matters that apply, or are asserted to apply, to us now or in the future. Our failure or perceived failure to comply with any of the foregoing legal and regulatory requirements, or other actual or asserted obligations relating to privacy, data protection, cybersecurity, or the collection, use, transfer, or other processing of data could result in increased costs for our products, monetary penalties, damage to our reputation, government inquiries, investigations and other legal proceeds, legal claims, demands and litigation and other obligations and liabilities.</w:t>
      </w:r>
    </w:p>
    <w:p>
      <w:pPr>
        <w:spacing w:after="0" w:line="23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international revenue and are subject to the risks associated with international operations, including those of our contract manufacturers and outsourcing partners, which may negatively affect our operating results.</w:t>
      </w:r>
    </w:p>
    <w:p>
      <w:pPr>
        <w:spacing w:after="0" w:line="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derived from customers outside of the United States in the fiscal years ended December 31, 2025, 2024 and 2023 represented approximately 23%, 14% and 21% of our revenue, respectively. Although no assurance can be given with respect to international sales growth in any one or more regions, we expect that international revenue will likely continue to represent, from year to year, a portion of our revenue, and potentially increasing, percentage of our annual revenue for the foreseeable future. Furthermore, the majority of our employees are based in our international offices and locations, and most of our contract manufacturing occurs outside of the United States. In addition, we outsource a portion of our research and development activities to certain third-party partners with development centers located in different countries, particularly Ukraine.</w:t>
      </w:r>
    </w:p>
    <w:p>
      <w:pPr>
        <w:spacing w:after="0" w:line="12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international operations, international operations of our contract manufacturers and outsourcing partners, and our efforts to maintain and increase revenue in international markets are subject to a number of risks, which are generally greater with respect to emerging market countries, including the following:</w:t>
      </w:r>
    </w:p>
    <w:p>
      <w:pPr>
        <w:spacing w:after="0" w:line="108" w:lineRule="exact"/>
        <w:rPr>
          <w:sz w:val="20"/>
          <w:szCs w:val="20"/>
          <w:color w:val="auto"/>
        </w:rPr>
      </w:pPr>
    </w:p>
    <w:p>
      <w:pPr>
        <w:ind w:left="620" w:right="320" w:hanging="148"/>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stability of the economy in one or more international regions, including regional economic impacts of the Middle East and Russia-Ukraine conflicts and potential escalations and broader regional conflicts, and tensions between China and Taiwan and the United States;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certain non-U.S. customers to timely make payments in U.S. dollar due to local government currency controls;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government regulations and telco standards;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and trade policies, taxes, economic sanctions, contractual limitations and other trade barriers;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particularly in emerging market countries;</w:t>
      </w:r>
    </w:p>
    <w:p>
      <w:pPr>
        <w:spacing w:after="0" w:line="157" w:lineRule="exact"/>
        <w:rPr>
          <w:rFonts w:ascii="Times New Roman" w:cs="Times New Roman" w:eastAsia="Times New Roman" w:hAnsi="Times New Roman"/>
          <w:sz w:val="18"/>
          <w:szCs w:val="18"/>
          <w:color w:val="auto"/>
        </w:rPr>
      </w:pPr>
    </w:p>
    <w:p>
      <w:pPr>
        <w:ind w:left="620" w:right="240" w:hanging="148"/>
        <w:spacing w:after="0" w:line="282"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periods and greater difficulty in enforcing contracts and collecting accounts receivable, especially from smaller customers and resellers, particularly in emerging market countries;</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the U.K. Bribery Act and/or similar anti-corruption and anti-bribery laws, particularly in emerging market countries;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wide variety of foreign laws, regulations, treaties and technical standards;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fulfilling “country of origin” requirements for our products for certain customers;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20" w:right="700" w:hanging="14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operational disruptions or delays caused by political, social and/or economic instability and unrest (e.g., Ukraine and Israel), including risks related to terrorist activity, particularly in emerging market countries;</w:t>
      </w:r>
    </w:p>
    <w:p>
      <w:pPr>
        <w:spacing w:after="0" w:line="80" w:lineRule="exact"/>
        <w:rPr>
          <w:rFonts w:ascii="Times New Roman" w:cs="Times New Roman" w:eastAsia="Times New Roman" w:hAnsi="Times New Roman"/>
          <w:sz w:val="18"/>
          <w:szCs w:val="18"/>
          <w:color w:val="auto"/>
        </w:rPr>
      </w:pPr>
    </w:p>
    <w:p>
      <w:pPr>
        <w:ind w:left="620" w:right="220" w:hanging="14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policies by foreign governments, including the imposition and potential continued expansion of economic sanctions by the United States and the European Union on the Russian Federation;</w:t>
      </w:r>
    </w:p>
    <w:p>
      <w:pPr>
        <w:spacing w:after="0" w:line="94" w:lineRule="exact"/>
        <w:rPr>
          <w:rFonts w:ascii="Times New Roman" w:cs="Times New Roman" w:eastAsia="Times New Roman" w:hAnsi="Times New Roman"/>
          <w:sz w:val="18"/>
          <w:szCs w:val="18"/>
          <w:color w:val="auto"/>
        </w:rPr>
      </w:pPr>
    </w:p>
    <w:p>
      <w:pPr>
        <w:ind w:left="620" w:right="500" w:hanging="14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 including those between the United States and China;</w:t>
      </w:r>
    </w:p>
    <w:p>
      <w:pPr>
        <w:spacing w:after="0" w:line="94" w:lineRule="exact"/>
        <w:rPr>
          <w:rFonts w:ascii="Times New Roman" w:cs="Times New Roman" w:eastAsia="Times New Roman" w:hAnsi="Times New Roman"/>
          <w:sz w:val="18"/>
          <w:szCs w:val="18"/>
          <w:color w:val="auto"/>
        </w:rPr>
      </w:pPr>
    </w:p>
    <w:p>
      <w:pPr>
        <w:ind w:left="620" w:right="400" w:hanging="148"/>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economic impacts resulting from the political environment in the United States or the United Kingdoms’ exit from the European Union; and</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disruptions and delays caused by outbreaks of disease, epidemics and potential pandemics.</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certain international customers who are billed in their local currency, primarily the Euro, which subjects us to foreign currency risk. In addition, a portion of our operating expenses relating to the cost of certain international employees, are denominated in foreign currencies, primarily the Israeli shekel, Euro, and Indian rupee. Gains and losses on the conversion to U.S. dollars of accounts receivable, accounts payable and other monetary assets and liabilities arising from international operations may contribute to fluctuations in our operating results. Furthermore, payment cycles for international customers are typically longer than those for customers in the United States. Unpredictable payment cycles could cause us to fail to meet or exceed the expectations of security analysts and investors for any given period.</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of our international revenue is denominated in U.S. dollars, and fluctuations in currency exchange rates could cause our products to become relatively more expensive to customers in a particular country or region, leading to a reduction in revenue or profitability from sales in that country or region. The potential negative impact of a strong U.S. dollar on our business may be exacerbated by the significant devaluation of a number of foreign currencies. Also, if the U.S. dollar were to weaken against many foreign currencies, there can be no assurance that a weaker dollar would lead to growth in customer spending in foreign markets.</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outside the United States also require us to comply with a number of U.S. and international regulations that prohibit improper payments or offers of payments to foreign governments and their officials and political parties for corrupt purposes. For example, our operations in countries outside the United States are subject to the FCPA and similar laws, including the U.K. Bribery Act. Our activities in certain emerging countries create the risk of unauthorized payments or offers of payments by one of our employees, consultants, sales agents or channel partners that could be in violation of various anti-corruption laws, even though these parties may not be under our control. Under the FCPA and U.K. Bribery Act, companies may be held liable for the corrupt actions taken by their directors, officers, employees, channel partners, sales agents, consultants, or other strategic or local partners or representatives. We have internal control policies and procedures with respect to FCPA compliance, have implemented FCPA training and compliance programs for our employees, and include in our agreements with resellers a requirement that those parties comply with the FCPA. However, we cannot provide assurances that our policies, procedures and programs will prevent violations of the FCPA or similar laws by our employees or agents, particularly in emerging market countries, and as we expand our international operations. Any such violation, even if prohibited by our policies, could result in criminal or civil sanctions against us.</w:t>
      </w:r>
    </w:p>
    <w:p>
      <w:pPr>
        <w:spacing w:after="0" w:line="12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 of one or more of these international risks could have a material and adverse effect on our business, financial condition, operating results and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anti-takeover provisions contained in our certificate of incorporation and bylaws, as well as provisions of Delaware law, could impair a takeover attempt.</w:t>
      </w:r>
    </w:p>
    <w:p>
      <w:pPr>
        <w:spacing w:after="0" w:line="9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provisions in our certificate of incorporation and bylaws that could have the effect of rendering more difficult or discouraging an acquisition deemed undesirable by our Board. These include provisions:</w:t>
      </w:r>
    </w:p>
    <w:p>
      <w:pPr>
        <w:spacing w:after="0" w:line="94" w:lineRule="exact"/>
        <w:rPr>
          <w:sz w:val="20"/>
          <w:szCs w:val="20"/>
          <w:color w:val="auto"/>
        </w:rPr>
      </w:pPr>
    </w:p>
    <w:p>
      <w:pPr>
        <w:ind w:left="620" w:hanging="14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with voting, liquidation, dividend and other rights superior to our common stock;</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57" w:lineRule="exact"/>
        <w:rPr>
          <w:rFonts w:ascii="Times New Roman" w:cs="Times New Roman" w:eastAsia="Times New Roman" w:hAnsi="Times New Roman"/>
          <w:sz w:val="18"/>
          <w:szCs w:val="18"/>
          <w:color w:val="auto"/>
        </w:rPr>
      </w:pPr>
    </w:p>
    <w:p>
      <w:pPr>
        <w:ind w:left="620" w:right="60" w:hanging="148"/>
        <w:spacing w:after="0" w:line="28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w:t>
      </w:r>
    </w:p>
    <w:p>
      <w:pPr>
        <w:spacing w:after="0" w:line="80"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conducting and scheduling of Board and stockholder meetings; and</w:t>
      </w:r>
    </w:p>
    <w:p>
      <w:pPr>
        <w:spacing w:after="0" w:line="157" w:lineRule="exact"/>
        <w:rPr>
          <w:rFonts w:ascii="Times New Roman" w:cs="Times New Roman" w:eastAsia="Times New Roman" w:hAnsi="Times New Roman"/>
          <w:sz w:val="18"/>
          <w:szCs w:val="18"/>
          <w:color w:val="auto"/>
        </w:rPr>
      </w:pPr>
    </w:p>
    <w:p>
      <w:pPr>
        <w:ind w:left="620" w:right="580" w:hanging="148"/>
        <w:spacing w:after="0" w:line="28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with the express power to postpone previously scheduled annual meetings and to cancel previously scheduled special meetings.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could delay hostile takeovers, changes in control of the Company or changes in our management. 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extremely volatile, and the value of an investment in our stock may decline.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price has been highly volatile. We expect that this volatility will continue in the future due to factors such as:</w:t>
      </w:r>
    </w:p>
    <w:p>
      <w:pPr>
        <w:spacing w:after="0" w:line="158" w:lineRule="exact"/>
        <w:rPr>
          <w:sz w:val="20"/>
          <w:szCs w:val="20"/>
          <w:color w:val="auto"/>
        </w:rPr>
      </w:pPr>
    </w:p>
    <w:p>
      <w:pPr>
        <w:ind w:left="620" w:right="20" w:hanging="148"/>
        <w:spacing w:after="0" w:line="26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inflation, interest rates, volatile capital markets, uncertainty and volatility in the financial services sector, the Middle East and Russia-Ukraine conflicts and potential escalations and broader regional conflicts, and rising tensions between China and Taiwan and the United States;</w:t>
      </w:r>
    </w:p>
    <w:p>
      <w:pPr>
        <w:spacing w:after="0" w:line="108"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general stock market or to the stock prices of technology companies;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or new services by us or by our competitors or customers;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stock market analysts regarding us or our competitors;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dispositions, strategic partnerships, joint ventures or capital commitments;</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regarding end user market conditions and the status of existing and future infrastructure network deployments;</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equity or debt offerings or our announcements of these offerings.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in recent years, the stock market in general, and The Nasdaq Global Select Market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these circumstances, investors may be unable to sell their shares of our common stock at or above their purchase price over the short term, or at all.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2025, our Board of Directors terminated our existing $100 million stock repurchase program and approved a new stock repurchase program for the repurchase of up to $200 million of the outstanding shares of common stock. The repurchase program expires in February 2028 and we are not obligated to repurchase a specified number or dollar value of shares. Share repurchases will be made from time to time in open market purchases and 10b5-1 trading plans, as permitted by securities laws and other legal requirements. Any share repurchases remain subject to the circumstances in place at that time, including prevailing market prices. As a result, there can be no guarantee around the timing or volume of our share repurchases. The stock repurchase program could affect the price of our common stock, increase volatility and diminish our cash reserves. Our repurchase program may be suspended or terminated at any time and, even if fully implemented, may not enhance long-term stockholder value.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decline if additional shares are sold in the market or if analysts drop coverage of or downgrade our stock.</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Future sales of substantial amounts of shares of our common stock by our existing stockholders in the public market, or the perception that these sales could occur, may cause the market price of our common stock to decline. In addition, we issue additional shares upon exercise of stock options, including under our 2002 ESPP, and in connection with grants of restricted stock units on an ongoing basis. Increased sales of our common stock in the market after exercise of outstanding stock options or grants of restricted stock units could exert downward pressure on our stock price. These sales also might make it more difficult for us to sell equity or equity-related securities in the future at a time and price we deem appropriate.</w:t>
      </w:r>
    </w:p>
    <w:p>
      <w:pPr>
        <w:spacing w:after="0" w:line="11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relies in part on the availability of research and reports that third-party industry or securities analysts publish about us and our business. If we do not maintain adequate research coverage or if one or more of the analysts who do cover us downgrade our stock or publishes inaccurate or unfavorable research about our business, our stock price may decline. If one or more of these analysts cease coverage of us or fails to publish reports on us regularly, we could lose visibility in the market, which in turn could cause the liquidity of our stock and our stock price to decline.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conduct periodic and ad-hoc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evaluate whether and how to re-design, implement, and maintain reasonable safeguards to mitigate identified risks and reasonably address any identified gaps in existing safeguards. We also regularly monitor the effectiveness of our safeguards. We devote significant resources and designate high-level personnel, including our Chief Information Security Officer (“CISO”), who reports to our Chief Financial Officer (“CFO”), to manage the risk assessment and mitigation process.</w:t>
      </w:r>
    </w:p>
    <w:p>
      <w:pPr>
        <w:spacing w:after="0" w:line="9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human resources, IT, and management. Personnel at all levels and departments are made aware of our cybersecurity policies through trainings.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engage auditors and other third parties in connection with our risk assessment processes. These service providers assist us to monitor, enhance and test our safeguards.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require key third-party service providers to certify that such providers have the ability to implement and maintain appropriate security measures, consistent with all applicable laws, to implement and maintain reasonable security measures in connection with their work with us, and to promptly report any suspected breach of their security measures that may affect our company.</w:t>
      </w:r>
    </w:p>
    <w:p>
      <w:pPr>
        <w:spacing w:after="0" w:line="9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“Cybersecurity incidents, including data security breaches or computer viruses, could harm our business by disrupting our business operations, compromising our products and services, damaging our reputation or exposing us to liability”.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CISO is responsible for assessing and managing our material risks from cybersecurity threats, in close coordination with the senior executive leaders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our business.</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CISO oversees our cybersecurity policies and processes, including those described in “Risk Management and Strategy” above, in close coordination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with the senior executive leaders of our business. The processes by which o</w:t>
      </w:r>
      <w:r>
        <w:rPr>
          <w:rFonts w:ascii="Times New Roman" w:cs="Times New Roman" w:eastAsia="Times New Roman" w:hAnsi="Times New Roman"/>
          <w:sz w:val="18"/>
          <w:szCs w:val="18"/>
          <w:color w:val="000000"/>
        </w:rPr>
        <w:t>ur CISO</w:t>
      </w:r>
      <w:r>
        <w:rPr>
          <w:rFonts w:ascii="Times New Roman" w:cs="Times New Roman" w:eastAsia="Times New Roman" w:hAnsi="Times New Roman"/>
          <w:sz w:val="18"/>
          <w:szCs w:val="18"/>
          <w:color w:val="211D1E"/>
        </w:rPr>
        <w:t xml:space="preserve"> is informed about and monitors the prevention, detection, mitigation, and remediation of cybersecurity incidents includes the following: regular reports from the Company’s 24/7 cybersecurity operations center monitoring systems and established incident reporting and escalation from the executive leaders of our corporate information technology function and operational business leaders.</w:t>
      </w:r>
    </w:p>
    <w:p>
      <w:pPr>
        <w:spacing w:after="0" w:line="1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color w:val="211D1E"/>
        </w:rPr>
        <w:t>CISO provides briefings to the audit committee throughout the year regarding our company’s cybersecurity risks and activities, including any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cybersecurity incidents and related responses, cybersecurity systems testing, activities of third parties, and the like. Our audit committee provides regular updates to the board of directors on such reports. In addition, o</w:t>
      </w:r>
      <w:r>
        <w:rPr>
          <w:rFonts w:ascii="Times New Roman" w:cs="Times New Roman" w:eastAsia="Times New Roman" w:hAnsi="Times New Roman"/>
          <w:sz w:val="18"/>
          <w:szCs w:val="18"/>
          <w:color w:val="000000"/>
        </w:rPr>
        <w:t>ur CISO</w:t>
      </w:r>
      <w:r>
        <w:rPr>
          <w:rFonts w:ascii="Times New Roman" w:cs="Times New Roman" w:eastAsia="Times New Roman" w:hAnsi="Times New Roman"/>
          <w:sz w:val="18"/>
          <w:szCs w:val="18"/>
          <w:color w:val="211D1E"/>
        </w:rPr>
        <w:t xml:space="preserve"> provides annual briefings to the board of directors on cybersecurity risks and activities. Our board may also be notified and engaged as part of the Company’s cybersecurity incident response plans, depending on the significance of an incident.</w:t>
      </w:r>
    </w:p>
    <w:p>
      <w:pPr>
        <w:spacing w:after="0" w:line="1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CISO’s responsibilities include the Company’s cybersecurity efforts and policies, and he reports directly to our CFO. Our CISO previously served in relevant leadership positions at other large public companies and brings to the role a wealth of information security and information technology knowledge and experience.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our facilities are leased, including our principal operations and corporate headquarters in San Jose, California. We have research and development centers in the United States, Israel, France and India. We have sales and service offices primarily in the United States and various locations in Europe and Asia. Our leases, which expire at various dates through September 2032, are for an aggregate of approximately 274,956 square feet of space. We believe that the facilities that we currently occupy are adequate for our current needs and that suitable additional space will be available, as needed, to accommodate the presently foreseeable expansion of our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information set forth under Note 15, “Legal Proceedings”, included in Part II, Item 8 of this Annual Report on Form 10-K, is incorporated herein by reference. For an additional discussion of certain risks associated with legal proceedings, refer to “Risk Factors” above.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of our Common Stock</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HLIT, and has been listed on Nasdaq since our initial public offering in 1995.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2026, there were approximately 234 holders of record of our common stock.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capital stock. At this time, we expect to retain future earnings, if any, for use in the operation and expansion of our business and do not anticipate paying any cash dividends in the foreseeable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year ended December 31,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As of December 31, 2025, approximately $121.0 million of the share repurchase authorization remained available.</w:t>
      </w:r>
    </w:p>
    <w:p>
      <w:pPr>
        <w:spacing w:after="0" w:line="1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approximately 8.1 million shares of the Company’s common stock for an aggregate amount of $79.0 million.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repurchase activities for the three months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Under Publicly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5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Plan or Program</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5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Paid per Share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27, 2025 - October 24, 2025</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October 25, 2025 - November 21,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22, 2025 - December 31, 2025</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3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8"/>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1,259,400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-156845</wp:posOffset>
            </wp:positionV>
            <wp:extent cx="1117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-156845</wp:posOffset>
            </wp:positionV>
            <wp:extent cx="102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-10795</wp:posOffset>
            </wp:positionV>
            <wp:extent cx="9601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-10795</wp:posOffset>
            </wp:positionV>
            <wp:extent cx="951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360" w:firstLine="8"/>
        <w:spacing w:after="0" w:line="235" w:lineRule="auto"/>
        <w:tabs>
          <w:tab w:leader="none" w:pos="20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 the period includes commission. In February 2022, the Board of Directors authorized the Company to repurchase up to $100 million of the Company’s outstanding shares of common stock through February 2025. This authorization was terminated by the Board of Directors in February 2025 with $35.2 million of repurchases effectuated. In connection with the termination of the existing program, the Board of Directors authorized a new repurchase program for the Company to repurchase up to $200 million of the Company’s outstanding shares of common stock through February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-394335</wp:posOffset>
            </wp:positionV>
            <wp:extent cx="9601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-394335</wp:posOffset>
            </wp:positionV>
            <wp:extent cx="951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we paid approximately $0.6 million in employee withholding taxes due upon the vesting of net settled equity awards. We withheld approximately 59,185 shares of common stock from employees in connection with such net share settlement at an average price of $9.62 per share. These shares may be deemed to be “issuer purchases” of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Set forth below is a line graph comparing the annual percentage change in the cumulative return to the stockholders of our common stock with the cumulative return of the Nasdaq Telecommunications Index and of the Standard &amp; Poor’s (S&amp;P) 500 Index for the period commencing December 31, 2020 and ending on December 31, 2025. The graph assumes that $100 was invested in each of the Company’s common stock, the S&amp;P 500 and the Nasdaq Telecommunications Index on December 31, 2020, and assumes the reinvestment of dividends, if any. The comparisons shown in the graph below are based upon historical data. Harmonic cautions that the stock price performance shown in the graph below is not indicative of, nor intended to forecast, the potential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87630</wp:posOffset>
            </wp:positionV>
            <wp:extent cx="5631815" cy="4500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31815" cy="450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12/20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12/21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12/22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12/23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12/24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12/25</w:t>
            </w: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Harmonic Inc.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Nasdaq Telecom</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107.59</w:t>
            </w:r>
          </w:p>
        </w:tc>
      </w:tr>
    </w:tbl>
    <w:p>
      <w:pPr>
        <w:spacing w:after="0" w:line="12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Stock Performance Graph section shall not be deemed to be “soliciting material,” “filed” or incorporated by reference in previous or future filings with the SEC, or subject to the liabilities of Section 18 of the Exchange Act, except to the extent that Harmonic specifically incorporates it by reference into a document filed under the Securities Act or the Exchange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included in this Annual Report on Form 10-K. This discussion contains forward-looking statements that based upon current expectations that involve risks and uncertainties. Our actual results may differ materially from those anticipated in the forward-looking statements as a result of various factors, including, but are not limited to, those discussed below and those listed under Item 1A, Risks Factors.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broadband solutions that enable broadband operators to more efficiently and effectively deploy high-speed internet, for data, voice and video services for their customers.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classify our total revenue in two categories, “Appliance and integration” and “SaaS and service.” The “Appliance and integration” revenue category includes hardware, licenses and professional services and is reflective of non-recurring revenue, while the “SaaS and service” category includes usage fees for our SaaS platform and support service revenue and reflects our recurring revenue stream.</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conduct business in three geographic regions—the Americas, Europe, the Middle East, and Africa (“EMEA”), and Asia-Pacific(“APAC”). We sell broadband solutions and related services, including our cOS™ software-based broadband solutions, to broadband operators globally.</w:t>
      </w:r>
    </w:p>
    <w:p>
      <w:pPr>
        <w:spacing w:after="0" w:line="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Historically, our revenue has been dependent upon spending in the cable and telco industries. Our customers’ spending patterns are dependent on a variety of factors, including but not limited to: economic conditions in the United States and international markets, and impact of factors such as the Middle East and Russia-Ukraine conflicts, inflation, changes in interest rates, potential supply chain disruptions, volatility in capital markets and foreign currency fluctuations; volatility and uncertainty in the banking and financial services sector; access to financing; annual budget cycles of each of the industries we serve; impact of industry consolidations; customer end-market conditions; customers suspending or reducing spending in anticipation of new products or new standards; impact of heightened, new, or proposed tariffs; and new industry trends and/or technology shifts. If our product portfolio and product development plans do not position us well to capture an increased portion of the spending in the markets in which we compete, our revenue may decline. As we attempt to further diversify our customer base in these markets, we may need to continue to build alliances with other equipment manufacturers and suppliers; take orders at prices resulting in lower margins.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strategy is focused on continuing to develop and deliver software-based broadband technologies, which we refer to as our cOS solutions, to our broadband operator customers. We believe our cOS software-based broadband solutions are superior to hardware-based systems and deliver unprecedented scalability, agility and cost savings for our customers. Our cOS solutions, which can be deployed based on a centralized, distributed access architecture (“DAA”) or hybrid architecture, enable our customers to migrate to multi-gigabit broadband capacity and the fast deployment of DOCSIS and/or fiber-to-the-home (“FTTH”) data, video and voice services. We believe our cOS solutions resolve space and power constraints in broadband operator facilities, eliminate dependence on hardware upgrade cycles and significantly reduce total cost of ownership, and are helping us to be a major player in the broadband market. In the meantime, we believe our business will continue to experience strong long-term growth as our customers adopt and deploy our virtualized DOCSIS, CMTS and FTTH solutions and distributed access architectures.</w:t>
      </w:r>
    </w:p>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Previously, we managed and operated our business under two reportable segments: Broadband and Video. On December 8, 2025, we entered into a Put Option Agreement (the “Put Option Agreement”) to sell our Video business to Leone Media Inc. (d/b/a MediaKind) (the “Buyer”). Under the Put Option Agreement, the Buyer has irrevocably provided the Company with the right to require the Buyer to purchase our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 The closing of the Disposition is subject to the satisfaction of customary closing conditions, including the completion of the required consultation process with the relevant employee works council in France regarding our asset sale. The Disposition is expected to close during the first half of fiscal 2026.</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the Company determined that the Disposition of the Video business met the held-for-sale and discontinued operations accounting criteria upon execution of the Put Option Agreement. Accordingly, the Company reclassified the results of our Video business as discontinued operations in the consolidated statements of operations for all periods presented. Additionally, the related assets and liabilities associated with the Video business were classified as held-for-sale in the consolidated balance sheets as of December 31, 2025. Refer Note 3 — Discontinued Operations to our consolidated financial statements for additional information. Following the classification of the Video business as discontinued operations, the Company’s continuing operations now consist of a single reportable segment, Broadband. Unless otherwise noted, all amounts, percentages and discussions below reflect only the results of operations and financial condition of our continuing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report are prepared in accordance with U.S. GAAP. The preparation of these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estimates involve a greater degree of judgment or complexity than our other accounting estimates. Accordingly, the critical accounting estimates that we believe have the most significant impact on Harmonic’s consolidated financial statements are set forth below:</w:t>
      </w:r>
    </w:p>
    <w:p>
      <w:pPr>
        <w:spacing w:after="0" w:line="94" w:lineRule="exact"/>
        <w:rPr>
          <w:sz w:val="20"/>
          <w:szCs w:val="20"/>
          <w:color w:val="auto"/>
        </w:rPr>
      </w:pPr>
    </w:p>
    <w:p>
      <w:pPr>
        <w:ind w:left="620" w:hanging="14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inventories; and</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Inventories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state inventories at the lower-of-cost (determined on a first-in, first-out basis) or net realizable value, including allowances for excess and obsolete inventory. These reserves are based on management’s assumptions about and analysis of relevant factors including current levels of orders and backlog, forecasted demand, market conditions, and expected product lifecycles. Situations that could cause changes in the level of these inventory reserves include a decline in business and economic conditions, a decline in consumer confidence caused by changes in market conditions, a sudden and significant decline in demand for our products, inventory obsolescence because of rapidly changing technology and consumer requirements, or failure to estimate end customer demand properly. If actual market conditions deteriorate from those anticipated by management, additional allowances for excess and obsolete inventory could be required and may be material to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of inventory reserves charged to the cost of revenues totaled $2.1 million and $9.4 million, in 2025 and 2024,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preparing our consolidated financial statements, we estimate our income taxes for each of the jurisdictions in which we operate. We estimate actual current tax expense together with assessing temporary differences resulting from different treatment of items, such as accruals and allowances not currently deductible for tax purposes. These differences result in deferred tax assets and liabilities, which are included in our consolidated balance sheets.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Management’s judgment is required in determining the provision for income taxes, deferred tax assets and liabilities and any valuation allowance recorded against our net deferred tax assets. We record a valuation allowance to reflect uncertainties about whether we will be able to utilize our deferred tax assets before they expire. In evaluating the need for a full or partial valuation allowance, all positive and negative evidence must be considered, including our forecast of taxable income over the applicable carryforward periods, its current financial performance, its market environment, and other factors. We believe it is not more likely than not the California and Swiss net deferred tax assets of $32.7 million and $0.4 million, respectively, will be realizable. Accordingly, full valuation allowances of $32.7 million and $0.3 million are maintained against the California and Swiss net deferred tax assets, respectively. To the extent that we determine the deferred tax assets are realizable on a more likely than not basis and an adjustment is needed, an adjustment will be recorded in the fiscal period the determination is made.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Appliance and integration</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302,787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433,795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334,029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(131,008)</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99,766</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SaaS and service</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(127,677)</w:t>
            </w: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7"/>
        </w:trPr>
        <w:tc>
          <w:tcPr>
            <w:tcW w:w="246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6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6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449,346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335,154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(128,776)</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114,192</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EMEA</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APAC</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(127,677)</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-1156335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-1139190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-1156335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-1139190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-1156335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-1139190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-1156335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-1139190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-1156335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-1139190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46"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Appliance and integration net revenue decreased by $131.0 million in 2025, as compared to 2024, primarily due to customer deployment timing delays associated with DOCSIS 4.0 and network readiness.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Service net revenue increased by $3.3 million in 2025, as compared to 2024, primarily driven by expanded service offerings.</w:t>
      </w:r>
    </w:p>
    <w:p>
      <w:pPr>
        <w:spacing w:after="0" w:line="15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Americas net revenue decreased by $128.8 million in 2025, as compared to 2024, primarily due to a $148.0 million reduction in the U.S. appliance and integration revenue resulting from customer deployment timing delays associated with DOCSIS 4.0 and network readiness, partially offset by an $19.2 million increase in the LATAM region, mainly driven by Fiber-to-the-Home project deployments.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 net revenue decreased by $2.5 million compared to 2024, primarily attributed to reduced expansion activity from a large customer in the region.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APAC net revenue increased by $3.6 million compared to 2024, primarily driven by a DOCSIS expansion project from a new customer in the region.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Appliance and integration net revenue increased by $99.8 million in 2024, as compared to 2023, primarily driven by certain customer ramping up due to technology transitions and new deployments.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SaaS and Service net revenue was relatively flat compared to 2023.</w:t>
      </w:r>
    </w:p>
    <w:p>
      <w:pPr>
        <w:spacing w:after="0" w:line="15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Americas net revenue increased by $114.2 million in 2024, as compared to 2023, primarily due to higher appliance and integration revenue driven by higher volume from our existing customers, including $83.9 million from new technology deployment with one Tier 1 customer and $26.5 million expansion deployment with another Tier 1 customer.</w:t>
      </w:r>
    </w:p>
    <w:p>
      <w:pPr>
        <w:spacing w:after="0" w:line="9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EMEA net revenue decreased by $14.6 million, as compared to 2023, primarily due to one of our large Tier 1 customer reduced spending in 2024 due to high inventory levels from prior year’s 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APAC net revenue was relatively flat compared to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240,107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rPr>
              <w:t>(65,362)</w:t>
            </w:r>
          </w:p>
        </w:tc>
        <w:tc>
          <w:tcPr>
            <w:tcW w:w="10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  $</w:t>
            </w:r>
          </w:p>
        </w:tc>
        <w:tc>
          <w:tcPr>
            <w:tcW w:w="136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61,986</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26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as % of total net revenue (“gross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gross margins are dependent upon, among other factors, the product mix, supply chain impacts, customer mix, product introduction costs, price reductions granted to customers and achievement of cost reductions.</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margin declined in fiscal 2025 compared to fiscal 2024 due to an unfavorable product mix, while gross margin improved in fiscal 2024 compared to fiscal 2023, primarily as a result of favorable product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69,708</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3,755</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  $</w:t>
            </w:r>
          </w:p>
        </w:tc>
        <w:tc>
          <w:tcPr>
            <w:tcW w:w="1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2,866</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employee salaries and related expenses, contractors and outside consultants, supplies and materials, equipment depreciation and facilities costs, all of which are associated with the design and development of new products and enhancements of existing products. The research and development expenses are net of French Research and Development credits.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in both 2025 compared to 2024 and 2024 compared to 2023, mainly due to increased investment supporting business growth.</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discussed previously, the results of the Video business have been classified as discontinued operations for all periods presented. Certain indirect corporate costs, such as IT and facility costs, previously allocated to the Video reporting segment, do not qualify for discontinued operations accounting classification and are now reported within continuing operations. These stranded costs included in research and development expenses were $3.7 million, $4.5 million and $7.5 million for 2025, 2024 and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79,169</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78,274</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2,215</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  $</w:t>
            </w:r>
          </w:p>
        </w:tc>
        <w:tc>
          <w:tcPr>
            <w:tcW w:w="136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895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27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as % of total net revenue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in both 2025 compared to 2024 and 2024 compared to 2023, mainly due to increased investments supporting business growth.</w:t>
      </w:r>
    </w:p>
    <w:p>
      <w:pPr>
        <w:spacing w:after="0" w:line="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discussed above, the stranded costs resulting from the disposition of the Video business included in selling, general and administrative expense were $3.6 million, $4.5 million and $7.4 million for 2025,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and Related Charges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Lease-related asset impairment and</w:t>
            </w:r>
          </w:p>
        </w:tc>
        <w:tc>
          <w:tcPr>
            <w:tcW w:w="18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8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1,637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92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(9,252)</w:t>
            </w:r>
          </w:p>
        </w:tc>
        <w:tc>
          <w:tcPr>
            <w:tcW w:w="10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  $</w:t>
            </w:r>
          </w:p>
        </w:tc>
        <w:tc>
          <w:tcPr>
            <w:tcW w:w="148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10,889</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2025, we recorded lease-related impairment and other charges of $1.6 million, which consisted of $0.4 million of right-of-use asset impairments, $0.3 million in leasehold improvement impairments, and $0.9 million related to the fair value of other unrecoverable facility costs. In 2024, we recorded total lease-related impairment and other charges of $10.9 million. Refer to Note 3, “Leases” of the Notes to our consolidated financial statements for additional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2024, we recorded total lease-related impairment and other charges of $10.9 million, which included $3.9 million of right-of-use asset impairments, $4.3 million in leasehold improvement impairments, and $2.7 million related to the fair value of unrecoverable facility costs. There were no asset impairment and related charges in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Related Charges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implemented several restructuring plans in the past few years. The goal of these plans is to bring operational expenses to appropriate levels relative to our net revenues, while simultaneously implementing appropriate expense control programs. We account for our restructuring plans under the authoritative guidance for exit or disposal activities. The restructuring and related charges are primarily included in “Operating expenses-restructuring and related charges” in the consolidated statement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(1,426)</w:t>
            </w:r>
          </w:p>
        </w:tc>
        <w:tc>
          <w:tcPr>
            <w:tcW w:w="11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(52)%  $</w:t>
            </w:r>
          </w:p>
        </w:tc>
        <w:tc>
          <w:tcPr>
            <w:tcW w:w="1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2,631</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Restructuring and related charges decreased in 2025, as compared to 2024, mainly due to higher severance and employee benefit costs recorded in fiscal 2024, in connection with the 2024 restructuring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Restructuring and related charges increased in 2024, as compared to 2023, primarily due to severance and employee benefit costs recorded in fiscal 2024, in connection with the 2024 restructuring activities.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2,666</w:t>
            </w: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  $</w:t>
            </w:r>
          </w:p>
        </w:tc>
        <w:tc>
          <w:tcPr>
            <w:tcW w:w="134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rPr>
              <w:t>(4,438)</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6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net decreased in 2025, as compared to 2024, primarily due to lower costs of borrowing and lower outstanding principal balance resulting from the repayment and reborrowing activities under the Revolving Facility in 2025. Refer to Note 9, “Debt,” of the Notes to our consolidated financial statements for additional information regarding the interest rates applicable to our outstanding loans.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19" w:lineRule="exact"/>
        <w:rPr>
          <w:sz w:val="20"/>
          <w:szCs w:val="20"/>
          <w:color w:val="auto"/>
        </w:rPr>
      </w:pPr>
    </w:p>
    <w:p>
      <w:pPr>
        <w:ind w:right="2760"/>
        <w:spacing w:after="0" w:line="282" w:lineRule="auto"/>
        <w:rPr>
          <w:sz w:val="20"/>
          <w:szCs w:val="20"/>
          <w:color w:val="auto"/>
        </w:rPr>
      </w:pPr>
      <w:r>
        <w:rPr>
          <w:rFonts w:ascii="Times New Roman" w:cs="Times New Roman" w:eastAsia="Times New Roman" w:hAnsi="Times New Roman"/>
          <w:sz w:val="18"/>
          <w:szCs w:val="18"/>
          <w:color w:val="auto"/>
        </w:rPr>
        <w:t>Interest expense, net increased in 2024, as compared to 2023, primarily due to higher interest rates for the borrowings under the Credit Agreement compared to the interest rate for the 2024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(4,687)</w:t>
            </w:r>
          </w:p>
        </w:tc>
        <w:tc>
          <w:tcPr>
            <w:tcW w:w="116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(143)%  $</w:t>
            </w:r>
          </w:p>
        </w:tc>
        <w:tc>
          <w:tcPr>
            <w:tcW w:w="1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3,424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meaningful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net in 2025, as compared to 2024, was primarily due to higher unrealized foreign exchange losses resulting from the strengthening of the Euro against U.S. dollar in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net in 2024, as compared to 2023, was primarily due to higher unrealized foreign exchange gains resulting from the strengthening of the U.S. dollar against the Euro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88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7,645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(13,173)</w:t>
            </w:r>
          </w:p>
        </w:tc>
        <w:tc>
          <w:tcPr>
            <w:tcW w:w="10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(63)%  $</w:t>
            </w:r>
          </w:p>
        </w:tc>
        <w:tc>
          <w:tcPr>
            <w:tcW w:w="126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81,311</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decreased during 2025, compared to 2024, primarily due to lower pretax income in 2025 compared to 2024. This decrease was partially offset by a non-cash adjustment in the current period related to the method change for capitalization of research and development expenses under section 174 of the Internal Revenue Code, which reduced our Internal Revenue Code Section 250 tax benefits.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in 2024, compared to 2023, primarily due to the prior period release of the valuation allowance against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certain state deferred tax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to continue to manage our cash from operations effectively, together with deploying cash in working capital for growth. The cash we generate from our operations enables us to fund ongoing operations, our research and development projects for new products and technologies, and other business activities. We continually evaluate our cash needs and may decide it is best to raise additional capital or seek alternative financing sources to fund our operations and the growth of our business, to take advantage of unanticipated strategic opportunities, or to strengthen our financial position, including through drawdowns on existing or new debt facilities or new debt and equity financing. In the future, we may enter into other arrangements for potential investments in, or acquisitions of, complementary businesses, services or technologies, which could require us to seek additional equity or debt financing. Additional funds may not be available on terms favorable to us or at all. Conversely, we may also from time to time determine that it is in our best interests to voluntarily repay certain indebtedness early. We believe that our current sources of funds will provide us with adequate liquidity during the 12-month period following December 31, 2025, as well as in the long-term.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4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principal uses of cash include repayments of debt and related interest, purchases of inventory, stock repurchases, payments for payroll, restructuring expenses, and other operating expenses related to the development and marketing of our products, purchases of property and equipment, facility leases, and other contractual obligations for the foreseeable future.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2025, we had outstanding $112.3 million in aggregate principal amount of indebtedness, consisting of our $75.0 million Revolving Facility and our $37.3 million Term Facility loan under our Credit Agreement, and other debts, of which $3.0 million is scheduled to become due in the 12-month period following December 31, 2025. As of December 31, 2025, our total minimum lease payments are $24.0 million, of which $6.7 million is due in the 12-month period following December 31, 2025. For details regarding our indebtedness and lease obligations, refer to Note 8, “Debt”, and Note 4, “Leases”, respectively, of the Notes to our consolidated financial statements included elsewhere in this Annual Report on Form 10-K.</w:t>
      </w:r>
    </w:p>
    <w:p>
      <w:pPr>
        <w:spacing w:after="0" w:line="1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February 2025, the Board of Directors authorized us to repurchase, from time to time, up to $200 million of our outstanding shares of common stock through February 2028 (the "Share Repurchase Authorization"), at such time and such prices as management may decide. The program does not obligate us to repurchase any specific number of shares and may be discontinued at any time. As of December 31, 2025, approximately $121.0 million of the Share Repurchase Authorization remained available for repurchases under this program.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Conditions of Liquidity</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sources to fund our material cash requirements are predominantly from the sales of our products and services and, when applicable, proceeds from debt facilities and debt and equity offerings.</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our principal sources of liquidity consisted of cash and cash equivalents of $124.1 million, net accounts receivable of $85.9 million, and $82.0 million remaining available under the Revolving Facility of our Credit Agreement.</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cash and cash equivalents of $124.1 million as of December 31, 2025 consisted of bank deposits held throughout the world and money market funds, of which $58.3 million was held outside of the United States. At present, such foreign funds are considered to be indefinitely reinvested in foreign countries to the extent of indefinitely reinvested foreign earnings. In the event funds from foreign operations are needed to fund cash needs in the United States and if U.S. taxes have not already been previously accrued, we may be required to accrue and pay additional U.S. and foreign withholding taxes in order to repatriate these funds. The expected proceeds from the disposition of our Video business will be used to fund ongoing operations and support our capital allocation priorities. We do not expect the disposition of the Video business to have a material impact on our ongoing liquidity and capital resources.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 from Continuing and Discontinued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61,917</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198"/>
        </w:trPr>
        <w:tc>
          <w:tcPr>
            <w:tcW w:w="49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480" w:type="dxa"/>
            <w:vAlign w:val="bottom"/>
            <w:shd w:val="clear" w:color="auto" w:fill="CFF0FC"/>
          </w:tcPr>
          <w:p>
            <w:pPr>
              <w:spacing w:after="0"/>
              <w:rPr>
                <w:sz w:val="17"/>
                <w:szCs w:val="17"/>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1289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6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$46.0 million in 2025, as compared to 2024, primarily driven by improved working capital performance and lower cash tax payments of $14.5 million in fiscal 2025. We recorded $57.5 million non-cash goodwill impairment charges in 2025, which reduced net income but were added back in the reconciliation from net income to operating cash flow.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by $54.9 million in 2024, as compared to 2023, primarily due to higher income before income taxes, adjusted for non-cash asset impairment and other charges incurred in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$1.9 million in 2025, as compared to 2024, primarily due to higher purchases of property and equipment in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$0.7 million in 2024, as compared to 2023, primarily due to higher purchases of property and equipment in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2025 compared to Fiscal 2024</w:t>
      </w:r>
    </w:p>
    <w:p>
      <w:pPr>
        <w:spacing w:after="0" w:line="16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$48.1 million in 2025, as compared to 2024, primarily due to $49.0 million higher stock repurchases in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compared to Fiscal 2023</w:t>
      </w:r>
    </w:p>
    <w:p>
      <w:pPr>
        <w:spacing w:after="0" w:line="14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by $28.3 million in 2024, as compared to 2023, primarily due to the $115.5 million repayment of the 2024 Notes and the $30.0 million of stock repurchases in 2024, partially offset by the proceeds of $75 million in loans under the Revolving Facility and $40 million in loans under the Term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previously noted, the Company determined that the Disposition of the Video business met the held-for-sale discontinued operations criteria upon execution of the Put Option Agreement. Accordingly, the Company classified the results of our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from discontinued operations were $210.3 million in the year ended December 31, 2025, compared to $190.5 million and $219.4 million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December 31, 2024 and 2023, respectively. The increase in net sales in fiscal 2025, as compared to fiscal 2024, was primarily driven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 million increase in appliance and integration revenue from sales to existing customers, due to improved market dynamics and recent customer wins,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$3.9 million increase in SaaS revenue, mainly due to higher usage from existing customers. The decrease in net sales in fiscal 2024,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2023, was primarily driven by reduction in product sales across most regions, mainly due to project delays by our customers,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revenue from SaaS mainly due to acquisition of new customers. Loss from discontinued operations, net of tax, in 2025 was primarily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goodwill impairment charge of $57.5 million recorded upon execution of the Put Option Agreement, to reduce the carrying amount of the Video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its estimated fair value.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Refer to Note 2 to the accompanying Consolidated Financial Statements for a full description of recent accounting pronouncements, including the dates of adoption and estimated effects, if any, on results of operations and financial condition.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market and sell our products and services through our direct sales force and indirect channel partners in the Americas, Europe, the Middle East, Africa and Asia-Pacific. Accordingly, we are subject to exposure from adverse movements in foreign currency exchange rates, primarily the Euro and Israeli shekel. Our U.S. dollar functional subsidiaries account for approximately 100% of our consolidated net revenues in 2025, 2024 and 2023. We recorded net billings denominated in foreign currencies of approximately 6%, 5% and 11% of total company billings in 2025, 2024 and 2023, respectively. In addition, a portion of our operating expenses, primarily the cost of personnel to deliver technical support on our products and professional services, sales and sales support and research and development, are denominated in foreign currencies, primarily the Israeli shekel, Euro and Indian Rupee.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variable-rate debt included the Term Loan and the Revolving Loan under the Credit Agreement, with carrying values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$37.1 million and $75.0 million, respectively. A hypothetical 100 basis point change in the interest rate would increase or decrease the interest expense on these loans for the next twelve months by approximately $1.1 million. The carrying value of the variable-rate loans approximate their fair values as the underlying interest rates are tied to the Secured Overnight Financing Rate.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9"/>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Ernst &amp; Young LLP - Independent Registered Public Accounting Firm </w:t>
            </w:r>
            <w:r>
              <w:rPr>
                <w:rFonts w:ascii="Times New Roman" w:cs="Times New Roman" w:eastAsia="Times New Roman" w:hAnsi="Times New Roman"/>
                <w:sz w:val="18"/>
                <w:szCs w:val="18"/>
                <w:color w:val="000000"/>
              </w:rPr>
              <w:t>(PCAOB Firm ID 42)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77"/>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24"/>
                <w:szCs w:val="24"/>
                <w:color w:val="auto"/>
              </w:rPr>
            </w:pPr>
          </w:p>
        </w:tc>
        <w:tc>
          <w:tcPr>
            <w:tcW w:w="3720" w:type="dxa"/>
            <w:vAlign w:val="bottom"/>
            <w:tcBorders>
              <w:top w:val="single" w:sz="8" w:color="0000FF"/>
            </w:tcBorders>
            <w:gridSpan w:val="7"/>
          </w:tcPr>
          <w:p>
            <w:pPr>
              <w:spacing w:after="0"/>
              <w:rPr>
                <w:sz w:val="24"/>
                <w:szCs w:val="24"/>
                <w:color w:val="auto"/>
              </w:rPr>
            </w:pPr>
          </w:p>
        </w:tc>
        <w:tc>
          <w:tcPr>
            <w:tcW w:w="3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77"/>
        </w:trPr>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77"/>
        </w:trPr>
        <w:tc>
          <w:tcPr>
            <w:tcW w:w="4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49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77"/>
        </w:trPr>
        <w:tc>
          <w:tcPr>
            <w:tcW w:w="3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5640" w:type="dxa"/>
            <w:vAlign w:val="bottom"/>
            <w:gridSpan w:val="3"/>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r>
      <w:tr>
        <w:trPr>
          <w:trHeight w:val="277"/>
        </w:trPr>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24"/>
                <w:szCs w:val="24"/>
                <w:color w:val="auto"/>
              </w:rPr>
            </w:pPr>
          </w:p>
        </w:tc>
        <w:tc>
          <w:tcPr>
            <w:tcW w:w="630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77"/>
        </w:trPr>
        <w:tc>
          <w:tcPr>
            <w:tcW w:w="3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40" w:type="dxa"/>
            <w:vAlign w:val="bottom"/>
            <w:gridSpan w:val="4"/>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709"/>
        </w:trPr>
        <w:tc>
          <w:tcPr>
            <w:tcW w:w="5840" w:type="dxa"/>
            <w:vAlign w:val="bottom"/>
            <w:gridSpan w:val="9"/>
          </w:tcPr>
          <w:p>
            <w:pPr>
              <w:ind w:left="5540"/>
              <w:spacing w:after="0"/>
              <w:rPr>
                <w:sz w:val="20"/>
                <w:szCs w:val="20"/>
                <w:color w:val="auto"/>
              </w:rPr>
            </w:pPr>
            <w:r>
              <w:rPr>
                <w:rFonts w:ascii="Times New Roman" w:cs="Times New Roman" w:eastAsia="Times New Roman" w:hAnsi="Times New Roman"/>
                <w:sz w:val="18"/>
                <w:szCs w:val="18"/>
                <w:color w:val="auto"/>
              </w:rPr>
              <w:t>50</w:t>
            </w:r>
          </w:p>
        </w:tc>
        <w:tc>
          <w:tcPr>
            <w:tcW w:w="3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140" w:firstLine="3132"/>
        <w:spacing w:after="0" w:line="40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Harmonic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have audited the accompanying consolidated balance sheets of Harmonic Inc.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11"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tcPr>
          <w:p>
            <w:pPr>
              <w:spacing w:after="0"/>
              <w:rPr>
                <w:sz w:val="21"/>
                <w:szCs w:val="21"/>
                <w:color w:val="auto"/>
              </w:rPr>
            </w:pPr>
          </w:p>
        </w:tc>
        <w:tc>
          <w:tcPr>
            <w:tcW w:w="862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Inventory Valuation</w:t>
            </w:r>
          </w:p>
        </w:tc>
      </w:tr>
      <w:tr>
        <w:trPr>
          <w:trHeight w:val="320"/>
        </w:trPr>
        <w:tc>
          <w:tcPr>
            <w:tcW w:w="2620" w:type="dxa"/>
            <w:vAlign w:val="bottom"/>
          </w:tcPr>
          <w:p>
            <w:pPr>
              <w:ind w:left="60"/>
              <w:spacing w:after="0"/>
              <w:rPr>
                <w:sz w:val="20"/>
                <w:szCs w:val="20"/>
                <w:color w:val="auto"/>
              </w:rPr>
            </w:pPr>
            <w:r>
              <w:rPr>
                <w:rFonts w:ascii="Arial" w:cs="Arial" w:eastAsia="Arial" w:hAnsi="Arial"/>
                <w:sz w:val="18"/>
                <w:szCs w:val="18"/>
                <w:i w:val="1"/>
                <w:iCs w:val="1"/>
                <w:color w:val="auto"/>
              </w:rPr>
              <w:t>Description of the Matter</w:t>
            </w:r>
          </w:p>
        </w:tc>
        <w:tc>
          <w:tcPr>
            <w:tcW w:w="8620" w:type="dxa"/>
            <w:vAlign w:val="bottom"/>
          </w:tcPr>
          <w:p>
            <w:pPr>
              <w:ind w:left="600"/>
              <w:spacing w:after="0"/>
              <w:rPr>
                <w:sz w:val="20"/>
                <w:szCs w:val="20"/>
                <w:color w:val="auto"/>
              </w:rPr>
            </w:pPr>
            <w:r>
              <w:rPr>
                <w:rFonts w:ascii="Arial" w:cs="Arial" w:eastAsia="Arial" w:hAnsi="Arial"/>
                <w:sz w:val="18"/>
                <w:szCs w:val="18"/>
                <w:color w:val="auto"/>
              </w:rPr>
              <w:t>The Company’s net inventory totaled $48 million as of December 31, 2025. As explained in “Note 2:</w:t>
            </w:r>
          </w:p>
        </w:tc>
      </w:tr>
      <w:tr>
        <w:trPr>
          <w:trHeight w:val="203"/>
        </w:trPr>
        <w:tc>
          <w:tcPr>
            <w:tcW w:w="2620" w:type="dxa"/>
            <w:vAlign w:val="bottom"/>
          </w:tcPr>
          <w:p>
            <w:pPr>
              <w:spacing w:after="0"/>
              <w:rPr>
                <w:sz w:val="17"/>
                <w:szCs w:val="17"/>
                <w:color w:val="auto"/>
              </w:rPr>
            </w:pPr>
          </w:p>
        </w:tc>
        <w:tc>
          <w:tcPr>
            <w:tcW w:w="8620" w:type="dxa"/>
            <w:vAlign w:val="bottom"/>
          </w:tcPr>
          <w:p>
            <w:pPr>
              <w:ind w:left="600"/>
              <w:spacing w:after="0" w:line="202" w:lineRule="exact"/>
              <w:rPr>
                <w:sz w:val="20"/>
                <w:szCs w:val="20"/>
                <w:color w:val="auto"/>
              </w:rPr>
            </w:pPr>
            <w:r>
              <w:rPr>
                <w:rFonts w:ascii="Arial" w:cs="Arial" w:eastAsia="Arial" w:hAnsi="Arial"/>
                <w:sz w:val="18"/>
                <w:szCs w:val="18"/>
                <w:color w:val="auto"/>
              </w:rPr>
              <w:t>Accounting Policies” within the consolidated financial statements, inventory is stated at the lower of</w:t>
            </w:r>
          </w:p>
        </w:tc>
      </w:tr>
      <w:tr>
        <w:trPr>
          <w:trHeight w:val="203"/>
        </w:trPr>
        <w:tc>
          <w:tcPr>
            <w:tcW w:w="2620" w:type="dxa"/>
            <w:vAlign w:val="bottom"/>
          </w:tcPr>
          <w:p>
            <w:pPr>
              <w:spacing w:after="0"/>
              <w:rPr>
                <w:sz w:val="17"/>
                <w:szCs w:val="17"/>
                <w:color w:val="auto"/>
              </w:rPr>
            </w:pPr>
          </w:p>
        </w:tc>
        <w:tc>
          <w:tcPr>
            <w:tcW w:w="8620" w:type="dxa"/>
            <w:vAlign w:val="bottom"/>
          </w:tcPr>
          <w:p>
            <w:pPr>
              <w:ind w:left="600"/>
              <w:spacing w:after="0" w:line="202" w:lineRule="exact"/>
              <w:rPr>
                <w:sz w:val="20"/>
                <w:szCs w:val="20"/>
                <w:color w:val="auto"/>
              </w:rPr>
            </w:pPr>
            <w:r>
              <w:rPr>
                <w:rFonts w:ascii="Arial" w:cs="Arial" w:eastAsia="Arial" w:hAnsi="Arial"/>
                <w:sz w:val="18"/>
                <w:szCs w:val="18"/>
                <w:color w:val="auto"/>
              </w:rPr>
              <w:t>cost (determined on a first-in, first-out basis) or net realizable value. The Company establishes a</w:t>
            </w:r>
          </w:p>
        </w:tc>
      </w:tr>
      <w:tr>
        <w:trPr>
          <w:trHeight w:val="203"/>
        </w:trPr>
        <w:tc>
          <w:tcPr>
            <w:tcW w:w="2620" w:type="dxa"/>
            <w:vAlign w:val="bottom"/>
          </w:tcPr>
          <w:p>
            <w:pPr>
              <w:spacing w:after="0"/>
              <w:rPr>
                <w:sz w:val="17"/>
                <w:szCs w:val="17"/>
                <w:color w:val="auto"/>
              </w:rPr>
            </w:pPr>
          </w:p>
        </w:tc>
        <w:tc>
          <w:tcPr>
            <w:tcW w:w="8620" w:type="dxa"/>
            <w:vAlign w:val="bottom"/>
          </w:tcPr>
          <w:p>
            <w:pPr>
              <w:ind w:left="600"/>
              <w:spacing w:after="0" w:line="202" w:lineRule="exact"/>
              <w:rPr>
                <w:sz w:val="20"/>
                <w:szCs w:val="20"/>
                <w:color w:val="auto"/>
              </w:rPr>
            </w:pPr>
            <w:r>
              <w:rPr>
                <w:rFonts w:ascii="Arial" w:cs="Arial" w:eastAsia="Arial" w:hAnsi="Arial"/>
                <w:sz w:val="18"/>
                <w:szCs w:val="18"/>
                <w:color w:val="auto"/>
              </w:rPr>
              <w:t>provision for excess and obsolete inventory to reduce such inventory to its estimated net realizable</w:t>
            </w:r>
          </w:p>
        </w:tc>
      </w:tr>
      <w:tr>
        <w:trPr>
          <w:trHeight w:val="239"/>
        </w:trPr>
        <w:tc>
          <w:tcPr>
            <w:tcW w:w="2620" w:type="dxa"/>
            <w:vAlign w:val="bottom"/>
          </w:tcPr>
          <w:p>
            <w:pPr>
              <w:spacing w:after="0"/>
              <w:rPr>
                <w:sz w:val="20"/>
                <w:szCs w:val="20"/>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value.</w:t>
            </w:r>
          </w:p>
        </w:tc>
      </w:tr>
      <w:tr>
        <w:trPr>
          <w:trHeight w:val="577"/>
        </w:trPr>
        <w:tc>
          <w:tcPr>
            <w:tcW w:w="2620" w:type="dxa"/>
            <w:vAlign w:val="bottom"/>
          </w:tcPr>
          <w:p>
            <w:pPr>
              <w:spacing w:after="0"/>
              <w:rPr>
                <w:sz w:val="24"/>
                <w:szCs w:val="24"/>
                <w:color w:val="auto"/>
              </w:rPr>
            </w:pPr>
          </w:p>
        </w:tc>
        <w:tc>
          <w:tcPr>
            <w:tcW w:w="862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51</w:t>
            </w:r>
          </w:p>
        </w:tc>
      </w:tr>
      <w:tr>
        <w:trPr>
          <w:trHeight w:val="763"/>
        </w:trPr>
        <w:tc>
          <w:tcPr>
            <w:tcW w:w="26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right="60"/>
        <w:spacing w:after="0"/>
        <w:rPr>
          <w:sz w:val="20"/>
          <w:szCs w:val="20"/>
          <w:color w:val="auto"/>
        </w:rPr>
      </w:pPr>
      <w:r>
        <w:rPr>
          <w:rFonts w:ascii="Arial" w:cs="Arial" w:eastAsia="Arial" w:hAnsi="Arial"/>
          <w:sz w:val="18"/>
          <w:szCs w:val="18"/>
          <w:color w:val="auto"/>
        </w:rPr>
        <w:t>Auditing management’s estimates for excess and obsolete inventory involved auditor judgment due to the assessment of management’s estimates of whether a provision for excess and obsolete inventory is required. The measurement of any excess of cost over net realizable value is judgmental and is impacted by a number of factors that are affected by general economic and market conditions outside the Company’s control. Specifically, excess and obsolete inventory calculations are sensitive to assumptions that relate to future customer demand for the Company’s products.</w:t>
      </w:r>
    </w:p>
    <w:p>
      <w:pPr>
        <w:spacing w:after="0" w:line="131" w:lineRule="exact"/>
        <w:rPr>
          <w:sz w:val="20"/>
          <w:szCs w:val="20"/>
          <w:color w:val="auto"/>
        </w:rPr>
      </w:pPr>
    </w:p>
    <w:p>
      <w:pPr>
        <w:ind w:left="60"/>
        <w:spacing w:after="0"/>
        <w:tabs>
          <w:tab w:leader="none" w:pos="3200" w:val="left"/>
        </w:tabs>
        <w:rPr>
          <w:sz w:val="20"/>
          <w:szCs w:val="20"/>
          <w:color w:val="auto"/>
        </w:rPr>
      </w:pPr>
      <w:r>
        <w:rPr>
          <w:rFonts w:ascii="Arial" w:cs="Arial" w:eastAsia="Arial" w:hAnsi="Arial"/>
          <w:sz w:val="18"/>
          <w:szCs w:val="18"/>
          <w:i w:val="1"/>
          <w:iCs w:val="1"/>
          <w:color w:val="auto"/>
        </w:rPr>
        <w:t>How We Addressed the Matter in</w:t>
      </w:r>
      <w:r>
        <w:rPr>
          <w:sz w:val="20"/>
          <w:szCs w:val="20"/>
          <w:color w:val="auto"/>
        </w:rPr>
        <w:tab/>
      </w:r>
      <w:r>
        <w:rPr>
          <w:rFonts w:ascii="Arial" w:cs="Arial" w:eastAsia="Arial" w:hAnsi="Arial"/>
          <w:sz w:val="17"/>
          <w:szCs w:val="17"/>
          <w:color w:val="auto"/>
        </w:rPr>
        <w:t>We obtained an understanding, evaluated the design and tested the operating effectiveness of</w:t>
      </w:r>
    </w:p>
    <w:p>
      <w:pPr>
        <w:spacing w:after="0" w:line="14" w:lineRule="exact"/>
        <w:rPr>
          <w:sz w:val="20"/>
          <w:szCs w:val="20"/>
          <w:color w:val="auto"/>
        </w:rPr>
      </w:pPr>
    </w:p>
    <w:p>
      <w:pPr>
        <w:jc w:val="both"/>
        <w:ind w:left="3220" w:right="60" w:hanging="3158"/>
        <w:spacing w:after="0"/>
        <w:tabs>
          <w:tab w:leader="none" w:pos="320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8"/>
          <w:szCs w:val="18"/>
          <w:color w:val="auto"/>
        </w:rPr>
        <w:t>internal controls over the Company’s excess and obsolete inventory reserve process. This included controls over management’s determination of inventory valuation, including the evaluation of future demand of the Company’s products and the completeness and accuracy of the data underlying the excess and obsolete inventory valuation.</w:t>
      </w:r>
    </w:p>
    <w:p>
      <w:pPr>
        <w:spacing w:after="0" w:line="126" w:lineRule="exact"/>
        <w:rPr>
          <w:sz w:val="20"/>
          <w:szCs w:val="20"/>
          <w:color w:val="auto"/>
        </w:rPr>
      </w:pPr>
    </w:p>
    <w:p>
      <w:pPr>
        <w:ind w:left="3220"/>
        <w:spacing w:after="0" w:line="242" w:lineRule="auto"/>
        <w:rPr>
          <w:sz w:val="20"/>
          <w:szCs w:val="20"/>
          <w:color w:val="auto"/>
        </w:rPr>
      </w:pPr>
      <w:r>
        <w:rPr>
          <w:rFonts w:ascii="Arial" w:cs="Arial" w:eastAsia="Arial" w:hAnsi="Arial"/>
          <w:sz w:val="18"/>
          <w:szCs w:val="18"/>
          <w:color w:val="auto"/>
        </w:rPr>
        <w:t>We performed audit procedures that included, among others, assessing the Company’s methodology over the computation of the provision for excess and obsolete inventory, testing the significant assumptions and the underlying inputs used by the Company in its analysis including historical sales trends, expectations regarding future demand, changes in the Company’s business, customer base, product life cycles and other relevant factors. We evaluated current inventory levels compared to future demand and historical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100" w:firstLine="3132"/>
        <w:spacing w:after="0" w:line="40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Harmonic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audited Harmonic Inc.’s internal control over financial reporting as of December 31, 2025, based on criteria established in Internal Control—Integrated Framework issued by the Committee of Sponsoring Organizations of the Treadway Commission (2013 framework) (the COSO criteria). In our opinion, Harmonic Inc. (the Company) maintained, in all material respects, effective internal control over financial reporting as of December 31, 2025, based on the COSO criteria.</w:t>
      </w:r>
    </w:p>
    <w:p>
      <w:pPr>
        <w:spacing w:after="0" w:line="106"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2025 consolidated financial statements of the Company and our report dated February 24, 2026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bottom w:val="single" w:sz="8" w:color="auto"/>
            </w:tcBorders>
          </w:tcPr>
          <w:p>
            <w:pPr>
              <w:spacing w:after="0"/>
              <w:rPr>
                <w:sz w:val="15"/>
                <w:szCs w:val="15"/>
                <w:color w:val="auto"/>
              </w:rPr>
            </w:pPr>
          </w:p>
        </w:tc>
      </w:tr>
      <w:tr>
        <w:trPr>
          <w:trHeight w:val="142"/>
        </w:trPr>
        <w:tc>
          <w:tcPr>
            <w:tcW w:w="74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124,105</w:t>
            </w:r>
          </w:p>
        </w:tc>
        <w:tc>
          <w:tcPr>
            <w:tcW w:w="8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101,457</w:t>
            </w:r>
          </w:p>
        </w:tc>
      </w:tr>
      <w:tr>
        <w:trPr>
          <w:trHeight w:val="198"/>
        </w:trPr>
        <w:tc>
          <w:tcPr>
            <w:tcW w:w="74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$227 and $415 as of December 31, 2025</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85,935</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143,724</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29"/>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223,961</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267,011</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494,371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565,140</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113,906</w:t>
            </w: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19,114</w:t>
            </w: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718,483</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796,506</w:t>
            </w:r>
          </w:p>
        </w:tc>
      </w:tr>
      <w:tr>
        <w:trPr>
          <w:trHeight w:val="20"/>
        </w:trPr>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8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28,318</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14,385</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to be disposed of</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85,671</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86,966</w:t>
            </w:r>
          </w:p>
        </w:tc>
      </w:tr>
      <w:tr>
        <w:trPr>
          <w:trHeight w:val="21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197,948</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192,283</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112,084</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12,154</w:t>
            </w:r>
          </w:p>
        </w:tc>
      </w:tr>
      <w:tr>
        <w:trPr>
          <w:trHeight w:val="210"/>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335,237</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331,248</w:t>
            </w: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or outstanding</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 shares authorized; 111,186 and 116,735 shares issued</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34"/>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 at December 31, 2025 and 2024, respectively</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2,466,177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2,432,733</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(2,076,406)</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(1,953,495)</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10"/>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383,246</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465,258</w:t>
            </w:r>
          </w:p>
        </w:tc>
      </w:tr>
      <w:tr>
        <w:trPr>
          <w:trHeight w:val="21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718,483</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796,506</w:t>
            </w:r>
          </w:p>
        </w:tc>
      </w:tr>
      <w:tr>
        <w:trPr>
          <w:trHeight w:val="20"/>
        </w:trPr>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-4225290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-3394075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-1422400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302,787</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433,795</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334,029</w:t>
            </w:r>
          </w:p>
        </w:tc>
      </w:tr>
      <w:tr>
        <w:trPr>
          <w:trHeight w:val="216"/>
        </w:trPr>
        <w:tc>
          <w:tcPr>
            <w:tcW w:w="6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SaaS and service</w:t>
            </w: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54,453</w:t>
            </w: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388,482</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Appliance and integration</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162,129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189,243</w:t>
            </w:r>
          </w:p>
        </w:tc>
      </w:tr>
      <w:tr>
        <w:trPr>
          <w:trHeight w:val="216"/>
        </w:trPr>
        <w:tc>
          <w:tcPr>
            <w:tcW w:w="6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SaaS and service</w:t>
            </w: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26,348</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w:t>
            </w: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248,093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210,361</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174,745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240,107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178,121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69,708</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79,169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78,274</w:t>
            </w: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160,665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148,092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27,845</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(60,493)</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88,338</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5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83,994</w:t>
            </w:r>
          </w:p>
        </w:tc>
      </w:tr>
      <w:tr>
        <w:trPr>
          <w:trHeight w:val="196"/>
        </w:trPr>
        <w:tc>
          <w:tcPr>
            <w:tcW w:w="63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9"/>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197"/>
        </w:trPr>
        <w:tc>
          <w:tcPr>
            <w:tcW w:w="630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6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0"/>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6"/>
        </w:trPr>
        <w:tc>
          <w:tcPr>
            <w:tcW w:w="6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115,120</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111,651</w:t>
            </w:r>
          </w:p>
        </w:tc>
      </w:tr>
      <w:tr>
        <w:trPr>
          <w:trHeight w:val="197"/>
        </w:trPr>
        <w:tc>
          <w:tcPr>
            <w:tcW w:w="63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114,182</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117,482</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117,359</w:t>
            </w:r>
          </w:p>
        </w:tc>
      </w:tr>
      <w:tr>
        <w:trPr>
          <w:trHeight w:val="20"/>
        </w:trPr>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-5005705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-5005705</wp:posOffset>
            </wp:positionV>
            <wp:extent cx="9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-4448175</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-4448175</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-2202180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-2185670</wp:posOffset>
            </wp:positionV>
            <wp:extent cx="93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-2202180</wp:posOffset>
            </wp:positionV>
            <wp:extent cx="94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-2185670</wp:posOffset>
            </wp:positionV>
            <wp:extent cx="946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-1345565</wp:posOffset>
            </wp:positionV>
            <wp:extent cx="93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-1328420</wp:posOffset>
            </wp:positionV>
            <wp:extent cx="93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-1345565</wp:posOffset>
            </wp:positionV>
            <wp:extent cx="946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-1328420</wp:posOffset>
            </wp:positionV>
            <wp:extent cx="94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-770890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946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83,994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Defined benefit plan</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30,826</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87,974</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-170815</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94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98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9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7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3"/>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0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110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2,380,651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(2,046,569)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324,506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option, stock</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award and purchase plans,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112,407</w:t>
            </w:r>
          </w:p>
        </w:tc>
        <w:tc>
          <w:tcPr>
            <w:tcW w:w="9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(1,962,575)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436,874</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award and</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plans, net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Excise tax on share repurchases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28,635</w:t>
            </w: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conversion of</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1"/>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Notes</w:t>
            </w: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116,735</w:t>
            </w:r>
          </w:p>
        </w:tc>
        <w:tc>
          <w:tcPr>
            <w:tcW w:w="9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(1,953,495)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465,258</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198"/>
        </w:trPr>
        <w:tc>
          <w:tcPr>
            <w:tcW w:w="3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award and</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plans, net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(79,028)</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Excise tax on share repurchases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111,186</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2,466,177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(2,076,406)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383,246</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-2647950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-2647950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-2647950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-2647950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-2647950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-1276350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-1276350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-1276350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-1276350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-1276350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Continuing and Discontinued Operations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0" w:type="dxa"/>
            <w:vAlign w:val="bottom"/>
          </w:tcPr>
          <w:p>
            <w:pPr>
              <w:spacing w:after="0"/>
              <w:rPr>
                <w:sz w:val="1"/>
                <w:szCs w:val="1"/>
                <w:color w:val="auto"/>
              </w:rPr>
            </w:pPr>
          </w:p>
        </w:tc>
      </w:tr>
      <w:tr>
        <w:trPr>
          <w:trHeight w:val="216"/>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0" w:type="dxa"/>
            <w:vAlign w:val="bottom"/>
          </w:tcPr>
          <w:p>
            <w:pPr>
              <w:spacing w:after="0"/>
              <w:rPr>
                <w:sz w:val="1"/>
                <w:szCs w:val="1"/>
                <w:color w:val="auto"/>
              </w:rPr>
            </w:pPr>
          </w:p>
        </w:tc>
      </w:tr>
      <w:tr>
        <w:trPr>
          <w:trHeight w:val="216"/>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other borrowings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long-term debt and other borrowings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(142,816)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common stock issued to employees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(81,390)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year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89,586</w:t>
            </w:r>
          </w:p>
        </w:tc>
        <w:tc>
          <w:tcPr>
            <w:tcW w:w="0" w:type="dxa"/>
            <w:vAlign w:val="bottom"/>
          </w:tcPr>
          <w:p>
            <w:pPr>
              <w:spacing w:after="0"/>
              <w:rPr>
                <w:sz w:val="1"/>
                <w:szCs w:val="1"/>
                <w:color w:val="auto"/>
              </w:rPr>
            </w:pPr>
          </w:p>
        </w:tc>
      </w:tr>
      <w:tr>
        <w:trPr>
          <w:trHeight w:val="25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the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124,461</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196"/>
        </w:trPr>
        <w:tc>
          <w:tcPr>
            <w:tcW w:w="64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year</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101,457</w:t>
            </w:r>
          </w:p>
        </w:tc>
        <w:tc>
          <w:tcPr>
            <w:tcW w:w="1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as shown in the consolidated statement</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124,461</w:t>
            </w:r>
          </w:p>
        </w:tc>
        <w:tc>
          <w:tcPr>
            <w:tcW w:w="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101,789</w:t>
            </w:r>
          </w:p>
        </w:tc>
        <w:tc>
          <w:tcPr>
            <w:tcW w:w="160" w:type="dxa"/>
            <w:vAlign w:val="bottom"/>
          </w:tcPr>
          <w:p>
            <w:pPr>
              <w:spacing w:after="0"/>
              <w:rPr>
                <w:sz w:val="16"/>
                <w:szCs w:val="16"/>
                <w:color w:val="auto"/>
              </w:rPr>
            </w:pP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84,269</w:t>
            </w:r>
          </w:p>
        </w:tc>
        <w:tc>
          <w:tcPr>
            <w:tcW w:w="0" w:type="dxa"/>
            <w:vAlign w:val="bottom"/>
          </w:tcPr>
          <w:p>
            <w:pPr>
              <w:spacing w:after="0"/>
              <w:rPr>
                <w:sz w:val="1"/>
                <w:szCs w:val="1"/>
                <w:color w:val="auto"/>
              </w:rPr>
            </w:pPr>
          </w:p>
        </w:tc>
      </w:tr>
      <w:tr>
        <w:trPr>
          <w:trHeight w:val="194"/>
        </w:trPr>
        <w:tc>
          <w:tcPr>
            <w:tcW w:w="6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of cash flows</w:t>
            </w:r>
          </w:p>
        </w:tc>
        <w:tc>
          <w:tcPr>
            <w:tcW w:w="3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-3668395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-3668395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-2819400</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-1430655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-1430655</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-856615</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-839470</wp:posOffset>
            </wp:positionV>
            <wp:extent cx="102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-856615</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-839470</wp:posOffset>
            </wp:positionV>
            <wp:extent cx="93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-281940</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-281940</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payments, net</w:t>
            </w:r>
          </w:p>
        </w:tc>
        <w:tc>
          <w:tcPr>
            <w:tcW w:w="16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12,760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w:t>
            </w:r>
          </w:p>
        </w:tc>
        <w:tc>
          <w:tcPr>
            <w:tcW w:w="1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payments, net</w:t>
            </w:r>
          </w:p>
        </w:tc>
        <w:tc>
          <w:tcPr>
            <w:tcW w:w="16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16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activities: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of common stock issued upon redemption of convertible debt</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Harmonic Inc. (“Harmonic” or the “Company”) is a leading global provider of broadband access solutions and related services, including cOS software-based broadband access solutions, which enable broadband operators to more efficiently and effectively deploy high-speed internet, for data, voice and video services for their customers.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Historically, the Company had been managed and operated under two reportable segments: Broadband and Video. On December 8, 2025, the Company entered into a Put Option Agreement to sell its Video business to Leone Media Inc. (d/b/a MediaKind) (the “Buyer”). Under the Put Option Agreement, the Buyer has irrevocably provided the Company with the right to require the Buyer to purchase the Company's Video business for a purchase price of $145 million in cash (the "Disposition"). The purchase price is subject to a potential adjustment based on the amount, on the date the Disposition is consummated, of net working capital of the Video business, the cash and debt of the entities to be sold in the Disposition, as well as the amount of specified selling expenses.</w:t>
      </w:r>
    </w:p>
    <w:p>
      <w:pPr>
        <w:spacing w:after="0" w:line="12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(Accounting Standards Codification (ASC) 205-20), the Company determined that the Disposition of the Video business met held-for-sale and discontinued operations accounting criteria upon execution of the Put Option Agreement. Accordingly, the Company classified the results of the Video Business as discontinued operations in its consolidated statements of operations for all periods presented. Additionally, the related assets and liabilities associated with the Video Business were classified as held-for-sale in the consolidated balance sheet as of December 31, 2025. Refer Note 3 — Discontinued Operations for additional information.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Harmonic and its wholly-owned subsidiaries, after elimination of all intercompany accounts and transactions. The Company has reclassified certain amounts previously reported in its consolidated financial statements that were not material, to conform to the current presentation. The Company’s fiscal quarters are based on 13-week periods, except for the fourth quarter which ends on December 31.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Company’s reported financial positions or results of operations may be materially different under changed conditions or when using different estimates and assumptions, particularly with respect to significant accounting policies. If estimates or assumptions differ from actual results, subsequent periods are adjusted to reflect more current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at the date of purchase are considered cash equivalents. The carrying amount of cash and cash equivalents approximates fair value because of the short maturity of those instruments.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Major Customers/Supplier Concentration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instruments which subject the Company to concentrations of credit risk consist primarily of cash, cash equivalents, and accounts receivable. Cash and cash equivalents are invested in short-term, highly liquid, investment-grade instruments, in accordance with the Company’s investment policy. The investment policy limits the amount of credit exposure to any one financial institution, commercial or governmental issuer.</w:t>
      </w:r>
    </w:p>
    <w:p>
      <w:pPr>
        <w:spacing w:after="0" w:line="9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are derived from sales to worldwide cable, satellite, telco, and broadcast and media companies. The Company generally does not require collateral from its customers, and performs ongoing credit evaluations of its customers and provides for expected losses. The Company maintains an allowance for doubtful accounts based upon the expected collectability of its accounts receivable. One customer had a balance greater than 10% of the Company’s net accounts receivable balance as of December 31, 2025. Two customers had a balance greater than 10% of the Company’s net accounts receivable balance as of December 31, 2024. During the years ended December 31, 2025 and 2023, one customer accounted for more than 10% of the Company’s total net revenue. During the year ended December 31, 2024, two customers each accounted for more than 10% of the Company’s total net revenue.</w:t>
      </w:r>
    </w:p>
    <w:p>
      <w:pPr>
        <w:spacing w:after="0" w:line="12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Certain of the components and subassemblies included in the Company’s products are obtained from a single source or a limited group of suppliers. Although the Company seeks to reduce dependence on those sole source and limited source suppliers, the partial or complete loss of certain of these sources could have at least a temporary adverse effect on the Company’s results of operations and damage customer relationships.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classifies its total revenue in two categories on the face of the statement of operations, “Appliance and integration” and “SaaS and service”. Appliance and integration revenue includes revenue from the sale of hardware products and perpetual software licenses, as well as the associated professional services such as testing, design, installation, commissioning, and integration, collectively referred to as “professional services”. These professional service agreements, associated with the sale of hardware products and perpetual software licenses, are typically of a short duration and are considered an important component of the appliance business by management.</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ASC 606, Revenue from Contracts with Customers (“ASC 606”) as a single standard for revenue recognition that applies to all of its hardware products, software licenses and services arrangements and generally require revenues to be recognized upon the transfer of control of promised goods or services provided to its customers, reflecting the amount of consideration the Company expects to receive for those goods or services. Pursuant to ASC 606, revenue is recognized upon the application of the following steps:</w:t>
      </w:r>
    </w:p>
    <w:p>
      <w:pPr>
        <w:spacing w:after="0" w:line="112" w:lineRule="exact"/>
        <w:rPr>
          <w:sz w:val="20"/>
          <w:szCs w:val="20"/>
          <w:color w:val="auto"/>
        </w:rPr>
      </w:pPr>
    </w:p>
    <w:p>
      <w:pPr>
        <w:ind w:left="620" w:hanging="14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4"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each performance obligation in the contract; and</w:t>
      </w:r>
    </w:p>
    <w:p>
      <w:pPr>
        <w:spacing w:after="0" w:line="157" w:lineRule="exact"/>
        <w:rPr>
          <w:rFonts w:ascii="Times New Roman" w:cs="Times New Roman" w:eastAsia="Times New Roman" w:hAnsi="Times New Roman"/>
          <w:sz w:val="18"/>
          <w:szCs w:val="18"/>
          <w:color w:val="auto"/>
        </w:rPr>
      </w:pPr>
    </w:p>
    <w:p>
      <w:pPr>
        <w:ind w:left="620" w:hanging="14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contractual performance obligations are satisfied.</w:t>
      </w:r>
    </w:p>
    <w:p>
      <w:pPr>
        <w:spacing w:after="0" w:line="1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Hardware and Software: Revenue from the sale of hardware and software products is recognized when control is transferred. For most of the Company’s product sales (including sales to distributors and system integrators), control is transferred at the time the product is shipped or delivery has occurred because the customer has significant risks and rewards of ownership of the asset and the Company has a present right to payment at that time.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Shipping and handling costs are accounted for as a fulfillment cost and are recorded in “Cost of revenue” in the Company’s Consolidated Statements of Operations. Sales tax and other amounts collected on behalf of third parties are excluded from the transaction price.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 Revenues from professional services are generally recognized as the services are performed.</w:t>
      </w:r>
    </w:p>
    <w:p>
      <w:pPr>
        <w:spacing w:after="0" w:line="14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SaaS services: </w:t>
      </w:r>
      <w:r>
        <w:rPr>
          <w:rFonts w:ascii="Times New Roman" w:cs="Times New Roman" w:eastAsia="Times New Roman" w:hAnsi="Times New Roman"/>
          <w:sz w:val="18"/>
          <w:szCs w:val="18"/>
          <w:color w:val="auto"/>
        </w:rPr>
        <w:t>Revenue for SaaS service is recognized ratably over the contractual term as the customer simultaneously receives and consumes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underlying service.</w:t>
      </w:r>
    </w:p>
    <w:p>
      <w:pPr>
        <w:spacing w:after="0" w:line="91"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Support and maintenance: </w:t>
      </w:r>
      <w:r>
        <w:rPr>
          <w:rFonts w:ascii="Times New Roman" w:cs="Times New Roman" w:eastAsia="Times New Roman" w:hAnsi="Times New Roman"/>
          <w:sz w:val="18"/>
          <w:szCs w:val="18"/>
          <w:color w:val="auto"/>
        </w:rPr>
        <w:t>Support and maintenance services are satisfied ratably over time as the customer simultaneously receives and consumes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the services.</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r>
        <w:rPr>
          <w:rFonts w:ascii="Times New Roman" w:cs="Times New Roman" w:eastAsia="Times New Roman" w:hAnsi="Times New Roman"/>
          <w:sz w:val="18"/>
          <w:szCs w:val="18"/>
          <w:color w:val="auto"/>
        </w:rPr>
        <w:t>: The Company has revenue arrangements that include multiple performance obligations.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allocates the transaction price to all distinct performance obligations based on their relative standalone selling prices (“SSP”). The Company may exercise judgment when determining whether products and services are considered distinct performance obligations that should be accounted for separately versus together. The determination of SSP is based on the contractually stated, observable prices of the promised goods and services charged when sold separately to the customer. Where SSP is not directly observable, we determine the SSP using information which considers multiple factors including, but not limited to, major product groupings, gross margin objectives and pricing practices. Pricing practices taken into consideration include discounts offered and applicable price lists.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Contract Balances</w:t>
      </w:r>
      <w:r>
        <w:rPr>
          <w:rFonts w:ascii="Times New Roman" w:cs="Times New Roman" w:eastAsia="Times New Roman" w:hAnsi="Times New Roman"/>
          <w:sz w:val="18"/>
          <w:szCs w:val="18"/>
          <w:color w:val="auto"/>
        </w:rPr>
        <w:t>: Deferred revenue represents the Company’s obligation to transfer goods or services to a customer for which the Company has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(or an amount of consideration is due) from the customer. 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amount of revenues recognized during the years ended December 31, 2025 and 2024 that were included in the opening deferred revenue balance as of January 1, 2025 and 2024, respectively, were $13.4 million and $10.4 million.</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Contract assets exist when the Company has satisfied a performance obligation but does not have an unconditional right to consideration (e.g., because the entity first must satisfy another performance obligation in the contract before it is entitled to invoice the customer).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deferred revenue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1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24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24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Contract assets and the non-current portion of deferred revenue are reported as components of “Prepaid expenses and other current assets” and “Other non-current liabilities”, respectively, on the Consolidated Balance Sheets.</w:t>
      </w:r>
    </w:p>
    <w:p>
      <w:pPr>
        <w:spacing w:after="0" w:line="9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revenues that had not yet been recognized and future revenue recognition is expected. The aggregate balance of the Company’s remaining performance obligations as of December 31, 2025, was $573.8 million, of which approximately 53% is expected to be recognized as revenue over the next twelve months and the remainder thereafter.</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Contract costs</w:t>
      </w:r>
      <w:r>
        <w:rPr>
          <w:rFonts w:ascii="Times New Roman" w:cs="Times New Roman" w:eastAsia="Times New Roman" w:hAnsi="Times New Roman"/>
          <w:sz w:val="18"/>
          <w:szCs w:val="18"/>
          <w:color w:val="auto"/>
        </w:rPr>
        <w:t>: The incremental costs of obtaining a contract are capitalized if the costs are expected to be recovered. Costs that are recognized as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on a straight-line basis over the period during which the related goods or services transfer to the customer. Costs incurred to fulfill a contract are capitalized if they are not covered by other relevant guidance, relate directly to a contract, will be used to satisfy future performance obligations, and are expected to be recovered.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net capitalized contract costs included in the Company’s Consolidated Balance Sheets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20" w:type="dxa"/>
            <w:vAlign w:val="bottom"/>
            <w:tcBorders>
              <w:bottom w:val="single" w:sz="8" w:color="auto"/>
            </w:tcBorders>
          </w:tcPr>
          <w:p>
            <w:pPr>
              <w:spacing w:after="0"/>
              <w:rPr>
                <w:sz w:val="15"/>
                <w:szCs w:val="15"/>
                <w:color w:val="auto"/>
              </w:rPr>
            </w:pPr>
          </w:p>
        </w:tc>
      </w:tr>
      <w:tr>
        <w:trPr>
          <w:trHeight w:val="196"/>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8"/>
              </w:rPr>
              <w:t>1,139</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98"/>
              </w:rPr>
              <w:t>1,005</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capitalized contract costs</w:t>
            </w:r>
          </w:p>
        </w:tc>
        <w:tc>
          <w:tcPr>
            <w:tcW w:w="2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8"/>
              </w:rPr>
              <w:t>2,144</w:t>
            </w:r>
          </w:p>
        </w:tc>
        <w:tc>
          <w:tcPr>
            <w:tcW w:w="88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1200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amortization of the capitalized contract costs for the years ended December 31, 2025, 2024 and 2023 was $0.9 million, $0.5 million and $0.1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“Segment Information, Geographic Information and Customer Concentration” for disaggregated revenue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(determined on first-in, first-out basis) or net realizable value. The cost of inventories is comprised of material and manufacturing labor and overheads. The Company establishes provisions for excess and obsolete inventories to reduce such inventories to their estimated net realizable value after evaluation of historical sales, future demand and market conditions, expected product life cycles and current inventory levels. Such provisions are charged to cost of revenue in the Company’s Consolidated Statements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using the straight-line method over the estimated useful lives of the assets. Estimated useful lives are generally five years for furniture and fixtures, three years for software and four years for machinery and equipment. Depreciation for leasehold improvements are computed using the shorter of estimated useful lives or the terms of the related leases. The Company reviews property and equipment for impairment whenever events or changes in circumstances indicate that the carrying amount of an asset may not be recoverable. For the year ended December 31, 2025, the Company recognized impairment charges of $0.3 million related to leasehold improvements. For the year ended December 31, 2024, the Company recognized impairment charges of $4.3 million related to leasehold improvements. Refer to Note 4, “Leases” for more details. For the year ended December 31, 2023, there was no impairment charges for property and equipment.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is assigned to one or more reporting segments on the date of acquisition. We review our goodwill for impairment annually during our fourth quarter of each fiscal year and between annual tests if an event occurs or circumstances change that would more likely than not reduce the fair value of any one of our reporting units below its respective carrying amount. The Company monitors changing business conditions as well as industry and economic factors, among others, for events which could trigger the need for an interim impairment analysis. In performing our goodwill impairment test, we first perform a qualitative assessment, which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segments are greater than the carrying amounts, then the quantitative goodwill impairment test is not performed.</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If the qualitative assessment indicates that the quantitative analysis should be performed, we then evaluate goodwill for impairment by comparing the fair value of each of our reporting segments to its carrying value, including the associated goodwill. To determine the fair values, we use the market approach based on comparable publicly traded companies in similar lines of businesses and the income approach based on estimated discounted future cash flows. Our cash flow assumptions consider historical and forecasted revenue, operating costs and other relevant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Company's carrying amount of goodwill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209"/>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60,781</w:t>
            </w:r>
          </w:p>
        </w:tc>
      </w:tr>
      <w:tr>
        <w:trPr>
          <w:trHeight w:val="216"/>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8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60,773</w:t>
            </w:r>
          </w:p>
        </w:tc>
      </w:tr>
      <w:tr>
        <w:trPr>
          <w:trHeight w:val="216"/>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8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60,900</w:t>
            </w:r>
          </w:p>
        </w:tc>
      </w:tr>
    </w:tbl>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fourth quarter of 2025, we determined that our Video reporting segment met the criteria to be classified as held-for-sale. Accordingly, we tested goodwill for impairment and concluded that the fair value of the reporting unit had declined below its carrying value. As a result, we recorded a goodwill impairment charge of $57.5 million which is included within “Loss from discontinued operations, net of tax” in the consolidated statement of operations. No goodwill impairment charges were recorded for the year ended December 31, 2024 and 2023. For additional information on the pending disposition of the Video business, refer to Note 3, "Discontinued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liabilities are recognized at the lease commencement date based on the present value of lease payments over the lease term. The Company’s lease contracts do not provide an implicit borrowing rate; hence the Company determined the incremental borrowing rate based on information available at lease commencement to determine the present value of lease liability. Right-of-use (“ROU”) assets related to our operating lease liabilities are measured at lease inception based on the initial measurement of the lease liability, plus any prepaid lease payments and less any lease incentives. As of December 31, 2025, the Company has operating leases primarily consisting of facilities with remaining lease terms of 1 year to 7 years, some of which included the option to extend the term. Optional periods to extend the lease, including by not exercising a termination option, are included in the lease term when it is reasonably certain that the option will be exercised. The Company recognizes operating lease expense on a straight-line basis over the lease term and classify both the ROU assets amortization and imputed interest as operating expenses. Operating leases are included in “Operating lease right-of-use assets”, “Operating lease liabilities, current”, and “operating lease liabilities, non-current” in the Consolidated Balance Sheets.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Company’s Israeli and Swiss subsidiaries is the U.S. dollar. All other foreign subsidiaries use the respective local currency as the functional currency. When the local currency is the functional currency, gains and losses from translation of these foreign currency financial statements into U.S. dollars are recorded as a separate component of other comprehensive income (loss) in stockholders’ equity.</w:t>
      </w:r>
    </w:p>
    <w:p>
      <w:pPr>
        <w:spacing w:after="0" w:line="9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foreign currency exposure is also related to its net position of monetary assets and monetary liabilities held by its foreign subsidiaries in their nonfunctional currencies. These monetary assets and liabilities are being remeasured into the subsidiaries’ respective functional currencies using exchange rates as of the balance sheet date. Such remeasurement gains and losses are included in “Other income (expense), net” in the Company’s consolidated statements of operations. During the years ended December 31, 2025 and 2023, the Company recorded remeasurement loss of approximately $1.4 million and $0.2 million, respectively. During the year ended 2024, the Company recorded remeasurement gain of approximately $3.3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and consist primarily of employee salaries and related expenses, contractors and outside consultants, supplies and materials, equipment depreciation and facilities costs, all associated with the design and development of new products and enhancements of existing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restructuring charges consist primarily of employee severance, one-time termination benefits related to the reduction of its workforce, and other costs. Liabilities for costs associated with a restructuring activity are recognized when the liability is incurred and are measured at fair value. One-time termination benefits are expensed at the date the entity notifies the employee, unless the employee must provide future service, in which case the benefits are expensed ratably over the future service period. Terminati</w:t>
      </w:r>
      <w:r>
        <w:rPr>
          <w:rFonts w:ascii="Times New Roman" w:cs="Times New Roman" w:eastAsia="Times New Roman" w:hAnsi="Times New Roman"/>
          <w:sz w:val="18"/>
          <w:szCs w:val="18"/>
          <w:color w:val="231F20"/>
        </w:rPr>
        <w:t>on benefits are calculated based on regional benefit practices and local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requirements.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accrues for estimated warranty costs at the time of revenue recognition and records such accrued liabilities as part of cost of revenue. Management periodically reviews its warranty liability and adjusts the accrued liability based on the terms of warranties provided to customers, historical and anticipated warranty claims experience, and estimates of the timing and cost of warranty claims.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advertising costs are expensed as incurred and included in “Selling, general and administrative expenses” in the Company’s Consolidated Statements of Operations. Advertising expense was $0.2 million, $0.3 million and $0.4 million for the years ended December 31, 2025,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compensation awards made to employees, including stock options, restricted stock units (“RSUs”) and stock purchase rights under the Company’s Employee Stock Purchase Plan (“ESPP”), based upon the grant-date fair value of those awards. The Company recognizes the impact of forfeitures as they occur.</w:t>
      </w:r>
    </w:p>
    <w:p>
      <w:pPr>
        <w:spacing w:after="0" w:line="9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fair value of the Company’s stock purchase rights under ESPP is estimated at grant date using the Black-Scholes option pricing model. The fair value of the Company’s RSUs and performance-based RSUs (“PRSUs”) is calculated based on the market value of the Company’s stock at the grant date. The fair value of the Company’s market-based RSUs (“MRSUs”) is estimated using the Monte-Carlo valuation model with market vesting conditions.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the stock-based compensation expense for RSUs, PRSUs, MRSUs and stock purchase rights under ESPP on straight-line basis over the requisite service period, which is generally the vesting period. The Company recognizes the stock-based compensation expense for PRSUs based on the probability of achieving performance criteria defined in the PRSU agreements. The Company estimates the number of PRSUs ultimately expected to vest and recognizes expense using the graded vesting attribution method over the requisite service period. Changes in the estimates related to probability of achieving certain performance criteria and number of PRSUs expected to vest could significantly affect the related stock-based compensation expense from one period to the next. The Company recognizes the expense for MRSUs over the requisite services periods regardless of whether the market conditions are satisfied.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subject to examination of its income tax returns by various tax authorities on a periodic basis. The Company regularly assesses the likelihood of adverse outcomes resulting from such examinations to determine the adequacy of its provision for income taxes. The Company has applied the provisions of the applicable accounting guidance on accounting for uncertainty in income taxes, which requires application of a more-likely-than-not threshold to the recognition and de-recognition of uncertain tax positions. If the recognition threshold is met, the applicable accounting guidance permits the Company to recognize a tax benefit measured at the largest amount of tax benefit that, in the Company’s judgment, is more than 50% likely to be realized upon settlement. It further requires that a change in judgment related to the expected ultimate resolution of uncertain tax positions be recognized in earnings in the period of such change.</w:t>
      </w:r>
    </w:p>
    <w:p>
      <w:pPr>
        <w:spacing w:after="0" w:line="10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The Company files annual income tax returns in multiple taxing jurisdictions around the world.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and penalties, as well as the related interest, in light of changing facts and circumstances. Changes in the Company’s assessment of its uncertain tax positions or settlement of any particular position could materially and adversely impact the Company’s income tax rate, operating results, financial position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This ASU requires disaggregated information about a reporting entity’s effective tax rate reconciliation as well as additional information on income taxes paid. The Company adopted ASU 2023-09 on a prospective basis in the fourth quarter of fiscal 2025, which resulted in the inclusion of required additional disclosures in our consolidated financial statements. Refer to Note 11, “Income Taxes” for our updated presentation.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and Income Tax Legislation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 Not Yet Adopted</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The ASU requires entities to disclose specified information about certain expenses in the notes to the financial statements, including employee compensation. The ASU is effective on a prospective basis for annual periods beginning after December 15, 2026 and interim periods within fiscal years beginning after December 15, 2027 with early adoption permitted. The Company is currently assessing the impact of this ASU on our consolidated financial statements and related disclosures.</w:t>
      </w:r>
    </w:p>
    <w:p>
      <w:pPr>
        <w:spacing w:after="0" w:line="1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by the Company as of the specified effective date. Unless otherwise discussed, the Company believes the impact of recently issued standards that are not yet effective will not have a material impact on its consolidated financial position, results of operations and cash flows upon adoption.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Legislation</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adjusted a number of provisions affecting businesses including the immediate expensing of domestic research and development costs, limitations on deductions for interest expense, and accelerated fixed asset depreciation. As of December 31, 2025, we have recognized the tax effects of the OBBBA, which did not have a material impact on our consolidated financial statements.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4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 December 8, 2025, the Company entered into a Put Option Agreement to divest our Video business to Leone Media Inc. for $145 million, subject to working capital and other adjustments. The following table summarizes the carrying values of the assets and liabilities classified as held-for-sale in our consolidated balance sheet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r>
      <w:tr>
        <w:trPr>
          <w:trHeight w:val="196"/>
        </w:trPr>
        <w:tc>
          <w:tcPr>
            <w:tcW w:w="8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38,895</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34,289</w:t>
            </w: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20,944</w:t>
            </w: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123,479</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176,103</w:t>
            </w: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w:t>
            </w: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w:t>
            </w:r>
          </w:p>
        </w:tc>
      </w:tr>
      <w:tr>
        <w:trPr>
          <w:trHeight w:val="24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223,961</w:t>
            </w:r>
          </w:p>
        </w:tc>
        <w:tc>
          <w:tcPr>
            <w:tcW w:w="7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267,011</w:t>
            </w:r>
          </w:p>
        </w:tc>
      </w:tr>
      <w:tr>
        <w:trPr>
          <w:trHeight w:val="197"/>
        </w:trPr>
        <w:tc>
          <w:tcPr>
            <w:tcW w:w="80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other borrowings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32,684</w:t>
            </w:r>
          </w:p>
        </w:tc>
      </w:tr>
      <w:tr>
        <w:trPr>
          <w:trHeight w:val="216"/>
        </w:trPr>
        <w:tc>
          <w:tcPr>
            <w:tcW w:w="8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17,695</w:t>
            </w:r>
          </w:p>
        </w:tc>
      </w:tr>
      <w:tr>
        <w:trPr>
          <w:trHeight w:val="216"/>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borrowings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r>
      <w:tr>
        <w:trPr>
          <w:trHeight w:val="216"/>
        </w:trPr>
        <w:tc>
          <w:tcPr>
            <w:tcW w:w="8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16,020</w:t>
            </w: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to be disposed of</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85,671</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86,966</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-1293495</wp:posOffset>
            </wp:positionV>
            <wp:extent cx="946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-1276985</wp:posOffset>
            </wp:positionV>
            <wp:extent cx="946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946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operating results of the discontinued operations only reflect revenues and expenses that are directly attributable to the Video business that will be eliminated from continuing operations. The following table presents key components of "Loss from discontinued operations, net of tax" for the years ended December 31, 2025, 2024 and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210,317</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190,522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85,001</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141,703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125,814</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134,424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48,401</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56,574</w:t>
            </w: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85,396</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 and other charges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142,281</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tax</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-2005330</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-2005330</wp:posOffset>
            </wp:positionV>
            <wp:extent cx="946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-1447800</wp:posOffset>
            </wp:positionV>
            <wp:extent cx="93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-1447800</wp:posOffset>
            </wp:positionV>
            <wp:extent cx="946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-1165225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-1165225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flows related to discontinued operations have not been segregated and are included in the Consolidated Statements of Cash Flows for all periods presented. The following table provides selected financial information related to cash flows from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Upon classification as held for sale, we recognized a goodwill impairment charge of $57.5 million within "Net loss from discontinued operations" in the consolidated statements of operations. We expect the transaction, which is subject to customary closing conditions and regulatory approvals, to close during the first half of fiscal 2026.</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4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4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0" w:type="dxa"/>
            <w:vAlign w:val="bottom"/>
          </w:tcPr>
          <w:p>
            <w:pPr>
              <w:spacing w:after="0"/>
              <w:rPr>
                <w:sz w:val="1"/>
                <w:szCs w:val="1"/>
                <w:color w:val="auto"/>
              </w:rPr>
            </w:pPr>
          </w:p>
        </w:tc>
      </w:tr>
      <w:tr>
        <w:trPr>
          <w:trHeight w:val="345"/>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0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4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-842645</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-825500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recorded lease-related impairment and other charges of $1.6 million, which consisted of $0.4 million in right-of-use asset impairments, $0.3 million in leasehold improvement impairments, and $0.9 million related to the fair value of other unrecoverable facility costs.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lease-related impairment and other charges of $10.9 million, which consisted of $3.9 million in right-of-use asset impairments, $4.3 million in leasehold improvement impairments, and $2.7 million related to the fair value of other unrecoverable facility costs.</w:t>
      </w:r>
    </w:p>
    <w:p>
      <w:pPr>
        <w:spacing w:after="0" w:line="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asset groups where impairment was triggered, the Company utilized an income approach to value the asset groups by developing discounted cash flow models. The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are as follows:</w:t>
      </w:r>
    </w:p>
    <w:p>
      <w:pPr>
        <w:spacing w:after="0" w:line="15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r>
      <w:tr>
        <w:trPr>
          <w:trHeight w:val="216"/>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648"/>
        </w:trPr>
        <w:tc>
          <w:tcPr>
            <w:tcW w:w="72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763"/>
        </w:trPr>
        <w:tc>
          <w:tcPr>
            <w:tcW w:w="7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2025 are as follows (in thousands):</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48"/>
        </w:trPr>
        <w:tc>
          <w:tcPr>
            <w:tcW w:w="9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9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r>
      <w:tr>
        <w:trPr>
          <w:trHeight w:val="216"/>
        </w:trPr>
        <w:tc>
          <w:tcPr>
            <w:tcW w:w="9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w:t>
            </w:r>
          </w:p>
        </w:tc>
      </w:tr>
      <w:tr>
        <w:trPr>
          <w:trHeight w:val="216"/>
        </w:trPr>
        <w:tc>
          <w:tcPr>
            <w:tcW w:w="9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16"/>
        </w:trPr>
        <w:tc>
          <w:tcPr>
            <w:tcW w:w="9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16"/>
        </w:trPr>
        <w:tc>
          <w:tcPr>
            <w:tcW w:w="9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93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w:t>
            </w:r>
          </w:p>
        </w:tc>
      </w:tr>
      <w:tr>
        <w:trPr>
          <w:trHeight w:val="20"/>
        </w:trPr>
        <w:tc>
          <w:tcPr>
            <w:tcW w:w="9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934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(2,870)</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21,097</w:t>
            </w:r>
          </w:p>
        </w:tc>
      </w:tr>
      <w:tr>
        <w:trPr>
          <w:trHeight w:val="20"/>
        </w:trPr>
        <w:tc>
          <w:tcPr>
            <w:tcW w:w="9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applicable accounting guidance establishes a framework for measuring fair value and requires disclosure about the fair value measurements of assets and liabilities. This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follows:</w:t>
      </w:r>
    </w:p>
    <w:p>
      <w:pPr>
        <w:spacing w:after="0" w:line="106" w:lineRule="exact"/>
        <w:rPr>
          <w:sz w:val="20"/>
          <w:szCs w:val="20"/>
          <w:color w:val="auto"/>
        </w:rPr>
      </w:pPr>
    </w:p>
    <w:p>
      <w:pPr>
        <w:ind w:left="620" w:hanging="14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for identical assets or liabilities in active markets.</w:t>
      </w:r>
    </w:p>
    <w:p>
      <w:pPr>
        <w:spacing w:after="0" w:line="157" w:lineRule="exact"/>
        <w:rPr>
          <w:rFonts w:ascii="Times New Roman" w:cs="Times New Roman" w:eastAsia="Times New Roman" w:hAnsi="Times New Roman"/>
          <w:sz w:val="18"/>
          <w:szCs w:val="18"/>
          <w:color w:val="auto"/>
        </w:rPr>
      </w:pPr>
    </w:p>
    <w:p>
      <w:pPr>
        <w:ind w:left="620" w:right="20" w:hanging="148"/>
        <w:spacing w:after="0" w:line="312"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2" w:lineRule="exact"/>
        <w:rPr>
          <w:rFonts w:ascii="Times New Roman" w:cs="Times New Roman" w:eastAsia="Times New Roman" w:hAnsi="Times New Roman"/>
          <w:sz w:val="17"/>
          <w:szCs w:val="17"/>
          <w:color w:val="auto"/>
        </w:rPr>
      </w:pPr>
    </w:p>
    <w:p>
      <w:pPr>
        <w:ind w:left="620" w:hanging="14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4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including cash equivalents, accounts receivable, accounts payable and accrued liabilities, approximate fair value due to their short maturities.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at fair value on a recurring basis based on the three-tier fair value hierarchy: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not measured at fair value on a recurring basis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42"/>
        </w:trPr>
        <w:tc>
          <w:tcPr>
            <w:tcW w:w="22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112,084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114,278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114,278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3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carrying values of the amounts outstanding under the Credit Agreement approximate fair value because its variable interest rates are tied to market rates and the applicable credit spreads represent current market rates for the credit risk profile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there were no nonrecurring fair value measurements of assets and liabilities subsequent to initial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invoiced amounts and do not bear interest. The Company generally does not require collateral and performs ongoing credit evaluations of its customers and provides for expected losses. The Company maintains an allowance for expected credit losses based upon the expected collectability of its accounts receivable. The expectation of collectability is based on the Company’s review of credit profiles of customers, contractual terms and conditions, current economic trends and historical payment experience. The Company offers return rights which are specifically identified and accrued for as sales returns at the end of the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activities in allowances for expected credit losses and sales returns: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12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Charges (Credits)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CERTAIN BALANCE SHEET COMPONENTS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Service-related spares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47,840</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4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current assets </w:t>
            </w:r>
            <w:r>
              <w:rPr>
                <w:rFonts w:ascii="Times New Roman" w:cs="Times New Roman" w:eastAsia="Times New Roman" w:hAnsi="Times New Roman"/>
                <w:sz w:val="24"/>
                <w:szCs w:val="24"/>
                <w:color w:val="auto"/>
                <w:vertAlign w:val="superscript"/>
              </w:rPr>
              <w:t>(1)</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1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Balance as of December 31, 2025 and 2024 included restricted cash of $0.4 million and $0.3 million, respectively.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24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76,971</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72,302</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25,588</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127,698</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(108,948)</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0" w:type="dxa"/>
            <w:vAlign w:val="bottom"/>
          </w:tcPr>
          <w:p>
            <w:pPr>
              <w:spacing w:after="0"/>
              <w:rPr>
                <w:sz w:val="1"/>
                <w:szCs w:val="1"/>
                <w:color w:val="auto"/>
              </w:rPr>
            </w:pPr>
          </w:p>
        </w:tc>
      </w:tr>
      <w:tr>
        <w:trPr>
          <w:trHeight w:val="209"/>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-2510790</wp:posOffset>
            </wp:positionV>
            <wp:extent cx="1200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-2493645</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-1739265</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and 2024, the Company recorded lease improvement impairment charges of $0.3 million and $4.3 million, respectively. Refer to Note 4, “Leases” for more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r>
      <w:tr>
        <w:trPr>
          <w:trHeight w:val="142"/>
        </w:trPr>
        <w:tc>
          <w:tcPr>
            <w:tcW w:w="72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 and related expenses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8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14,366</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customer rebates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for excess and obsolete inventory</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17,078</w:t>
            </w:r>
          </w:p>
        </w:tc>
      </w:tr>
      <w:tr>
        <w:trPr>
          <w:trHeight w:val="20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54,745</w:t>
            </w:r>
          </w:p>
        </w:tc>
      </w:tr>
      <w:tr>
        <w:trPr>
          <w:trHeight w:val="20"/>
        </w:trPr>
        <w:tc>
          <w:tcPr>
            <w:tcW w:w="7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and Term Facilities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December 2023, the Company entered into a five-year Credit Agreement (the “Credit Agreement”), by and among the Company, certain subsidiaries of the Company from time to time party thereto, the lenders from time to time party thereto, and Citibank N.A., as administrative agent for the lenders. As amended in December 2024, the Credit Agreement provides for a secured revolving credit facility in an aggregate principal amount of up to $160.0 million (“the Revolving Facility”), with a $10.0 million sublimit for the issuance of letters of credit, and a secured delayed draw term loan facility in an aggregate principal amount of up to $40.0 million (the “Term Facility”). The Revolving Facility and the Term Facility both mature on December 21, 2028. The proceeds of the loans under the Revolving Facility may be used for general corporate purposes. The proceeds of the loans under the Term Facility were required to be used to repurchase, redeem, acquire or otherwise settle the 2024 Notes. In April 2024, the Company borrowed all $40.0 million under the Term Facility in connection with settling conversions of the 2024 Notes. The Credit Agreement also includes an uncommitted accordion feature whereby the Company may increase the Revolving Facility and/or establish one or more new term loan facilities by an aggregate amount not to exceed $100.0 million during the term of the Credit Agreement, subject to certain conditions, including lender consent. In December 2024, the Company amended the Credit Agreement, increasing the revolving credit commitments in an aggregate principal amount of up to $40.0 million. As a result of the additional commitments, the Credit Agreement now provides for loans in an aggregate principal amount of up to $200.0 million, consisting of a $160.0 million revolving credit facility and a $40.0 million term loan facility.</w:t>
      </w:r>
    </w:p>
    <w:p>
      <w:pPr>
        <w:spacing w:after="0" w:line="1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Loans under the Revolving Facility and Term Facility bear interest, at a floating rate per annum equal to an adjusted Term Secured Overnight Financing Rate (“SOFR”) (based on one-, three- or six-month interest periods), plus a SOFR premium fee of 0.1% and an applicable margin of between 2.00% to</w:t>
      </w:r>
    </w:p>
    <w:p>
      <w:pPr>
        <w:ind w:right="200"/>
        <w:spacing w:after="0" w:line="260" w:lineRule="auto"/>
        <w:rPr>
          <w:sz w:val="20"/>
          <w:szCs w:val="20"/>
          <w:color w:val="auto"/>
        </w:rPr>
      </w:pPr>
      <w:r>
        <w:rPr>
          <w:rFonts w:ascii="Times New Roman" w:cs="Times New Roman" w:eastAsia="Times New Roman" w:hAnsi="Times New Roman"/>
          <w:sz w:val="18"/>
          <w:szCs w:val="18"/>
          <w:color w:val="auto"/>
        </w:rPr>
        <w:t>2.75%, determined based on the Company’s consolidated net leverage ratio. Unused commitments under the Revolving Facility are subject to a quarterly fee ranging from 0.25% to 0.35%, determined based on the Company’s consolidated net leverage ratio.</w:t>
      </w:r>
    </w:p>
    <w:p>
      <w:pPr>
        <w:spacing w:after="0" w:line="1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The Company is also required to maintain compliance with a maximum consolidated net leverage ratio and a minimum fixed charge coverage ratio, in each case, determined in accordance with the terms of the Credit Agreement. As of December 31, 2025, the Company was in compliance with the covenants under the Credit Agreement.</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Repayment of the principal amount of the term loans began on December 31, 2024, in quarterly installments equal to 1.25% of the initial borrowing of $40.0 million under the Term Loan Facility, increasing to 1.875% beginning December 31, 2025, and to 2.50% beginning December 31, 2027. As of December 31, 2025, the Company had repaid $2.8 million of these installments, and $3.0 million were due in twelve months and therefore classified as current portion of long-term debt on the consolidated balance sheet. As of December 31, 2025, the Company had outstanding borrowings of $37.3 million under the Term Facility, $75.0 million under the Revolving Facility, $3.0 million of letters of credit issued, and $82.0 million of remaining capacity under the Revolving Facility. The carrying value of the borrowings under the Credit Agreement approximates their fair value because they bear interest at a market rate.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2025 and 2024, the Company incurred interest expenses of $6.3 million and $5.1 million, respectively, on these borrowings.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 Convertible Senior Notes due 2024 (the “2024 Notes”)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September 2019, the Company issued $115.5 million of the 2024 Notes pursuant to an indenture (the “2024 Notes Indenture”), dated September 13, 2019, by and between the Company and U.S. Bank Trust Company, National Association (as successor in interest to U.S. Bank National Association), as trustee. The 2024 Notes would have matured on September 1, 2024, unless earlier repurchased by the Company, redeemed by the Company or converted pursuant to their terms.</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2024, the Company settled the conversion of the entire $115.5 million in aggregate principal amount of the 2024 Notes. In accordance with the provisions of the 2024 Notes Indenture, the Company settled such conversions of the 2024 Notes by paying and delivering, as applicable, a combination of $115.5 million in cash and 4.6 million shares of the Company’s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recognized for the 2024 Notes: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2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844"/>
        </w:trPr>
        <w:tc>
          <w:tcPr>
            <w:tcW w:w="4060" w:type="dxa"/>
            <w:vAlign w:val="bottom"/>
            <w:tcBorders>
              <w:top w:val="single" w:sz="8" w:color="CFF0FC"/>
            </w:tcBorders>
          </w:tcPr>
          <w:p>
            <w:pPr>
              <w:spacing w:after="0"/>
              <w:rPr>
                <w:sz w:val="24"/>
                <w:szCs w:val="24"/>
                <w:color w:val="auto"/>
              </w:rPr>
            </w:pPr>
          </w:p>
        </w:tc>
        <w:tc>
          <w:tcPr>
            <w:tcW w:w="2060" w:type="dxa"/>
            <w:vAlign w:val="bottom"/>
            <w:tcBorders>
              <w:top w:val="single" w:sz="8" w:color="CFF0FC"/>
            </w:tcBorders>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-1070610</wp:posOffset>
            </wp:positionV>
            <wp:extent cx="94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-1053465</wp:posOffset>
            </wp:positionV>
            <wp:extent cx="946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-1070610</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-1053465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1995 Stock Plan</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1995 Stock Plan provides for the grant of incentive stock options, non-statutory stock options and restricted stock units (“RSUs”). Incentive stock options may be granted only to employees. All other awards may be granted to employees and non-employees. Under the terms of the 1995 Stock Plan, no incentive stock option or non-statutory stock option may be granted in the ordinary course of business with a per share exercise price that is less than 100% of the fair value of the Company’s common stock on the date of grant. RSUs have no exercise price. Both options and RSUs vest over a period of time as determined by the Company’s Board of Directors (the “Board”), generally two to four years, and options expire seven years from the date of grant. Some of the RSUs granted by the Company have performance-based vesting terms, where vesting is dependent on achievement of certain financial and non-financial operating goals of the Company (performance-based RSUs, or “PRSUs”), or where vesting is dependent on performance of the Company’s total shareholder return (“TSR”) relative to the TSR of the Nasdaq Telecommunication Index (market-based RSUs, or “MRSUs”). The fair value of PRSUs is estimated on the date of grant based on the market value of our common stock.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The fair value of MRSUs subject to targeted levels of relative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The 1995 Stock Plan was replaced by the 2025 Stock Plan in June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2002 Director Plan</w:t>
      </w:r>
    </w:p>
    <w:p>
      <w:pPr>
        <w:spacing w:after="0" w:line="16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2002 Director Plan provides for the grant of non-statutory stock options and RSUs to non-employee directors of the Company. Under the terms of the 2002 Director Plan, no non-statutory stock option may be granted with a per share exercise price that is less than 100% of the fair value of the Company’s common stock on the date of grant. RSUs have no exercise price. Both options and RSUs vest over a period of time as determined by the Board, generally one year for RSUs and three years for options, and options expire seven years from the date of grant. The 1995 Stock Plan was replaced by the 2025 Stock Plan in June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Stock Plan</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June 2025, the Company’s stockholders approved the 2025 Equity Incentive Plan (the “2025 Stock Plan”) to replace the 1995 Stock Plan and 2002 Director Plan. As of December 31, 2025, an aggregate of 6,862,417 shares of common stock were reserved for issuance under the 2025 Stock Plan, of which 5,157,932 shares remained available for future grants. During the fiscal year 2025, the Company granted 47,048 and 188,190 shares of PRSUs and MRSUs, respectively, under the 1995 Stock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2002 Employee Stock Purchase Plan (“ESPP”) provides for the issuance of share purchase rights to employees of the Company. The ESPP is intended to qualify as an “employee stock purchase plan” under Section 423 of the Internal Revenue Code. The ESPP enables employees to purchase shares at 85% of the fair market value of the Common Stock at the beginning or end of the offering period, whichever is lower. Offering periods generally begin on the first trading day on or after January 1 and July 1 of each year. Employees may participate through payroll deductions of 1% to 10% of their earnings. In the event that there are insufficient shares in the plan to fully fund the issuance, the available shares will be allocated across all participants based on their contributions relative to the total contributions received for the offering period. In June 2025, the Company’s stockholders approved an amendment to the ESPP Plan at the 2025 Annual Meeting to increase the number of shares of common stock reserved for issuance thereunder by 500,000 shares. As of December 31, 2025, 408,348 shares were reserved for future purchases by eligible employees. Under the ESPP, 653,580, 622,004 and 733,030 shares were issued during fiscal 2025, 2024 and 2023, respectively, representing $6.0 million, $6.6 million and $6.6 million in contributions.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were fully vested and exercised as of December 31, 2023. No stock options were granted in 2024 and 2025.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06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06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06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issued</w:t>
            </w: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(2,354)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49"/>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-25400</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RSUs vested and issued during the years ended December 31, 2025, 2024 and 2023 was $29.9 million, $25.6 million and $22.5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Cost</w:t>
      </w:r>
    </w:p>
    <w:p>
      <w:pPr>
        <w:spacing w:after="0" w:line="1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detailed allocation of the share-based compensation expense which was included in the Company’s Consolidated Statements of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 included in: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0" w:type="dxa"/>
            <w:vAlign w:val="bottom"/>
          </w:tcPr>
          <w:p>
            <w:pPr>
              <w:spacing w:after="0"/>
              <w:rPr>
                <w:sz w:val="1"/>
                <w:szCs w:val="1"/>
                <w:color w:val="auto"/>
              </w:rPr>
            </w:pPr>
          </w:p>
        </w:tc>
      </w:tr>
      <w:tr>
        <w:trPr>
          <w:trHeight w:val="250"/>
        </w:trPr>
        <w:tc>
          <w:tcPr>
            <w:tcW w:w="6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196"/>
        </w:trPr>
        <w:tc>
          <w:tcPr>
            <w:tcW w:w="6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 by type of award:</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PRSUs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MRSUs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rights under ESPP</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-1019175</wp:posOffset>
            </wp:positionV>
            <wp:extent cx="94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-1002030</wp:posOffset>
            </wp:positionV>
            <wp:extent cx="94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-1019175</wp:posOffset>
            </wp:positionV>
            <wp:extent cx="93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-1002030</wp:posOffset>
            </wp:positionV>
            <wp:extent cx="93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946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share-based compensation cost related to unvested RSUs was $21.1 million and is expected to be recognized over a weighted-average period of approximately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stock purchase rights under the ESPP using a Black-Scholes option valuation model. The value of the stock purchase rights under the ESPP consists of: (1) the 15% discount on the purchase of the stock; (2) 85% of the fair value of the call option; and (3) 15% of the fair value of the put option. The call option and put option were valued using the Black-Scholes option pricing model. At the date of grant, the Company estimated the fair value of each stock purchase right granted under the ESPP using the following weighted average assumptions: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1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expected term of the stock purchase right under ESPP represents the period of time from the beginning of the offering period to the purchase date. The Company uses its historical volatility for a period equivalent to the expected term to estimate the expected volatility. The risk-free interest rate that the Company uses in the Black-Scholes option valuation model is based on U.S. Treasury zero-coupon issues with remaining terms similar to the expected term. The Company has not paid and does not plan to pay any cash dividends in the foreseeable future.</w:t>
      </w:r>
    </w:p>
    <w:p>
      <w:pPr>
        <w:spacing w:after="0" w:line="11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per share of stock purchase rights under the ESPP, granted for the years ended December 31, 2025, 2024 and 2023 was $3.46, $3.76 and $4.23,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the Board of Directors terminated the Company’s existing stock repurchase program and authorized a new program under which the Company may repurchase up to $200 million of its outstanding shares of common stock through February 2028. 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w:t>
      </w:r>
    </w:p>
    <w:p>
      <w:pPr>
        <w:spacing w:after="0" w:line="12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repurchased and retired approximately 8.1 million shares of the Company’s common stock for an aggregate amount of $79.0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2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63,403</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49"/>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27,845</w:t>
            </w:r>
          </w:p>
        </w:tc>
      </w:tr>
      <w:tr>
        <w:trPr>
          <w:trHeight w:val="399"/>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1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448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8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16,618</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(77,450)</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2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(60,493)</w:t>
            </w:r>
          </w:p>
        </w:tc>
      </w:tr>
      <w:tr>
        <w:trPr>
          <w:trHeight w:val="628"/>
        </w:trPr>
        <w:tc>
          <w:tcPr>
            <w:tcW w:w="4480" w:type="dxa"/>
            <w:vAlign w:val="bottom"/>
            <w:tcBorders>
              <w:top w:val="single" w:sz="8" w:color="CFF0FC"/>
            </w:tcBorders>
          </w:tcPr>
          <w:p>
            <w:pPr>
              <w:spacing w:after="0"/>
              <w:rPr>
                <w:sz w:val="24"/>
                <w:szCs w:val="24"/>
                <w:color w:val="auto"/>
              </w:rPr>
            </w:pPr>
          </w:p>
        </w:tc>
        <w:tc>
          <w:tcPr>
            <w:tcW w:w="1800" w:type="dxa"/>
            <w:vAlign w:val="bottom"/>
            <w:tcBorders>
              <w:top w:val="single" w:sz="8" w:color="CFF0FC"/>
            </w:tcBorders>
          </w:tcPr>
          <w:p>
            <w:pPr>
              <w:jc w:val="right"/>
              <w:ind w:right="47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-2579370</wp:posOffset>
            </wp:positionV>
            <wp:extent cx="93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-2562225</wp:posOffset>
            </wp:positionV>
            <wp:extent cx="93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-2579370</wp:posOffset>
            </wp:positionV>
            <wp:extent cx="93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-2562225</wp:posOffset>
            </wp:positionV>
            <wp:extent cx="93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-933450</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-916305</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93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9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the Company has elected to prospectively adopt the guidance in ASU 2023-09. The following table is a reconciliation of the U.S. federal statutory rate of 21% to the Company's effective rate for the year ended December 31, 2025 in accordance with guidance in ASU 2023-09.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62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benefit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Argentina</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Colombia</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 Salvador</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Israel</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 deduction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period</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Branch income inclusion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tax credits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Impairment loss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 to prior period provision</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93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State taxes in New Jersey, Tennessee, and Utah made up the majority (greater than 50%) of the tax effect in this category.</w:t>
      </w:r>
    </w:p>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of 86% for the year ended December 31, 2025 was due primarily to tax expense related to the method change for capitalization of research and development expenses under Section 174 of the Internal Revenue Code, which reduced our Internal Revenue Code Section 250 tax benefits, and the geographical mix of income and losses.</w:t>
      </w:r>
    </w:p>
    <w:p>
      <w:pPr>
        <w:spacing w:after="0" w:line="9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provision for (benefit from) income tax as a percentage of income (loss) before income taxes (effective tax rate) for the years ended December 31, 2024 and 2023 in accordance with guidance prior to the adoption of ASU 2023-09 was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8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 Taxes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Differential in rates on foreign earnings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Permanent differences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related to tax positions taken during prior years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7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5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of 29% for the year ended December 31, 2024 was due primarily to tax expense related to the geographical mix of income and losses and the resulting income and withholding taxes from operations in the foreign tax jurisdictions, offset by federal tax credits.</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of (217)% for the year ended December 31, 2023 was due primarily to tax benefit related to the release of the valuation allowance against U.S. Federal and certain state deferred tax assets due to improved historical earnings and projected earnings.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in multiple jurisdictions and its profits are taxed pursuant to the tax laws of these jurisdictions. The Company’s effective income tax rate differs from the U.S. federal statutory rate primarily due to geographical mix of income and losses, non-deductible stock-based compensation, and the resulting income and withholding taxes from operations in the foreign tax jurisdictions. The Company’s effective income tax rate may be affected by changes in its interpretations of tax laws and tax agreements in any given jurisdiction, changes in geographical mix of income and expense, and changes in management's assessment of matters such as the ability to realize deferred tax assets, as well as one-time discrete items.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vMerge w:val="continue"/>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Reserves and accruals</w:t>
            </w:r>
          </w:p>
        </w:tc>
        <w:tc>
          <w:tcPr>
            <w:tcW w:w="3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stock-based compensation</w:t>
            </w:r>
          </w:p>
        </w:tc>
        <w:tc>
          <w:tcPr>
            <w:tcW w:w="3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83,054</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0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deferred tax assets after valuation allowance</w:t>
            </w:r>
          </w:p>
        </w:tc>
        <w:tc>
          <w:tcPr>
            <w:tcW w:w="3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107,855</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119,220</w:t>
            </w: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50"/>
        </w:trPr>
        <w:tc>
          <w:tcPr>
            <w:tcW w:w="4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104,043</w:t>
            </w:r>
          </w:p>
        </w:tc>
        <w:tc>
          <w:tcPr>
            <w:tcW w:w="7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113,906</w:t>
            </w:r>
          </w:p>
        </w:tc>
        <w:tc>
          <w:tcPr>
            <w:tcW w:w="0" w:type="dxa"/>
            <w:vAlign w:val="bottom"/>
          </w:tcPr>
          <w:p>
            <w:pPr>
              <w:spacing w:after="0"/>
              <w:rPr>
                <w:sz w:val="1"/>
                <w:szCs w:val="1"/>
                <w:color w:val="auto"/>
              </w:rPr>
            </w:pPr>
          </w:p>
        </w:tc>
      </w:tr>
      <w:tr>
        <w:trPr>
          <w:trHeight w:val="628"/>
        </w:trPr>
        <w:tc>
          <w:tcPr>
            <w:tcW w:w="472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jc w:val="right"/>
              <w:ind w:right="2170"/>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-2073910</wp:posOffset>
            </wp:positionV>
            <wp:extent cx="939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-1790700</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-1224915</wp:posOffset>
            </wp:positionV>
            <wp:extent cx="939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-916940</wp:posOffset>
            </wp:positionV>
            <wp:extent cx="939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Company’s valuation allowance: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97,315</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Deductions</w:t>
            </w: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0" w:type="dxa"/>
            <w:vAlign w:val="bottom"/>
          </w:tcPr>
          <w:p>
            <w:pPr>
              <w:spacing w:after="0"/>
              <w:rPr>
                <w:sz w:val="1"/>
                <w:szCs w:val="1"/>
                <w:color w:val="auto"/>
              </w:rPr>
            </w:pP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120" w:type="dxa"/>
            <w:vAlign w:val="bottom"/>
          </w:tcPr>
          <w:p>
            <w:pPr>
              <w:spacing w:after="0"/>
              <w:rPr>
                <w:sz w:val="18"/>
                <w:szCs w:val="18"/>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939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9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valuation allowance as of December 31, 2025, was lower compared to 2024, primarily due to a release of valuation allowance on the net operating loss (“NOL”) for Switzerland, partially offset by an increase related to newly generated California R&amp;D credits.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regularly assesses the ability to realize deferred tax assets recorded based upon the weight of available evidence, including such factors as recent earnings history and expected future taxable income on a jurisdiction-by-jurisdiction basis. In 2023, the Company determined that deferred tax assets in the U.S federal and certain state jurisdictions would be realizable and released the valuation allowance against those assets accordingly. In the event that the Company changes its determination as to the amount of realizable deferred tax assets, the Company will adjust its valuation allowance with a corresponding impact to the provision for income taxes in the period in which such determination is made.</w:t>
      </w:r>
    </w:p>
    <w:p>
      <w:pPr>
        <w:spacing w:after="0" w:line="1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$70 million, $6.3 million, and $24.9 million, of federal, foreign, and U.S. state NOL carryforwards, respectively. The federal NOLs will carryforward indefinitely. Certain foreign NOLs expire beginning in 2026, if not utilized, while the majority of the foreign NOLs carryforward indefinitely. Certain U.S states NOLs carryforward expires at various dates beginning in 2030 if not utilized.</w:t>
      </w:r>
    </w:p>
    <w:p>
      <w:pPr>
        <w:spacing w:after="0" w:line="9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U.S. federal and California state tax credit carryforwards of approximate $4.9 million and $37.1 million, respectively. If not utilized, the U.S. federal tax credit carryforwards will begin to expire in 2031, while the California tax credit carryforward will not expire.</w:t>
      </w:r>
    </w:p>
    <w:p>
      <w:pPr>
        <w:spacing w:after="0" w:line="108"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In the event the Company experiences an ownership change within the meaning of Section 382 of the Internal Revenue Code (“IRC”), the Company’s ability to utilize U.S. net operating losses, tax credits and other tax attributes may be limited.</w:t>
      </w:r>
    </w:p>
    <w:p>
      <w:pPr>
        <w:spacing w:after="0" w:line="9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has not provided U.S. state income taxes and foreign withholding taxes, on the cumulative earnings for certain non-U.S. subsidiaries, because such earnings are intended to be indefinitely reinvested. Determination of the amount of unrecognized deferred tax liability for temporary differences related to investments in these non-U.S. subsidiaries that are essentially permanent in duration is not practicable.</w:t>
      </w:r>
    </w:p>
    <w:p>
      <w:pPr>
        <w:spacing w:after="0" w:line="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applies the provisions of the applicable accounting guidance regarding accounting for uncertainty in income taxes, which require application of a more-likely-than-not threshold to the recognition and derecognition of uncertain tax positions. If the recognition threshold is met, the applicable accounting guidance permits the recognition of a tax benefit measured at the largest amount of such tax benefit that, in the Company’s judgment, is more than fifty percent likely to be realized upon settlement. It further requires that a change in judgment related to the expected ultimate resolution of uncertain tax positions to be recognized in earnings in the period in which such determination is made. The Company will continue to review its tax positions and provide for, or reverse, unrecognized tax benefits as issues arise. As of December 31, 2025, the Company had $13.8 million of unrecognized future tax benefits, including interest and penalties. Of these, $5.6 million would favorably impact the effective tax rate in future periods if recognized, and $8.2 million will have no or minimal impact on the effective tax rate in future periods if recognized due to a valuation allowance on such unrecognized tax benefits.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Company’s gross unrecognized tax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balance related to tax positions taken during current year</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balance related to tax positions taken during prior years</w:t>
            </w: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balance related to tax positions taken during prior years</w:t>
            </w:r>
          </w:p>
        </w:tc>
        <w:tc>
          <w:tcPr>
            <w:tcW w:w="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5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946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94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939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positions in income tax expenses on the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interest and penalties charges recorded for the years ended December 31, 2023 through 2025, were not material.</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2022 through 2024 tax years generally remain subject to examination by U.S. federal and most state tax authorities. Net operating losses generated on a tax return basis by the Company for the 2015 to 2020 tax years and research and development credits for 2011 to 2024 tax years remain open to examination. In addition, the Company remains subject to income tax examination for several other jurisdictions, including in Switzerland for years after 2019, Israel for years after 2019, and France for years after 2023.</w:t>
      </w:r>
    </w:p>
    <w:p>
      <w:pPr>
        <w:spacing w:after="0" w:line="1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paid $10.5 million in federal income taxes. The amounts paid in state and foreign income taxes, net of refunds received, were $1.6 million and $0.6 million, respectively for the same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SHARE</w:t>
      </w:r>
    </w:p>
    <w:p>
      <w:pPr>
        <w:spacing w:after="0" w:line="1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for the period by the weighted-average number of common shares outstanding during the period. Diluted earnings per share is calculated by dividing net income by the weighted-average number of common shares and potentially dilutive securities outstanding during the period using the treasury stock method for the Company’s stock options, restricted stock units, and shares issuable under the ESPP, and the if-converted method for the convertible Notes.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in Note 8, “Debt,” the principal amount of the 2024 Notes was settled in cash while the conversion spread value was settled in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(44,526)</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10"/>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39,217</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111,651</w:t>
            </w:r>
          </w:p>
        </w:tc>
        <w:tc>
          <w:tcPr>
            <w:tcW w:w="0" w:type="dxa"/>
            <w:vAlign w:val="bottom"/>
          </w:tcPr>
          <w:p>
            <w:pPr>
              <w:spacing w:after="0"/>
              <w:rPr>
                <w:sz w:val="1"/>
                <w:szCs w:val="1"/>
                <w:color w:val="auto"/>
              </w:rPr>
            </w:pPr>
          </w:p>
        </w:tc>
      </w:tr>
      <w:tr>
        <w:trPr>
          <w:trHeight w:val="216"/>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 Notes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purchase rights under ESPP</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117,482</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117,359</w:t>
            </w:r>
          </w:p>
        </w:tc>
        <w:tc>
          <w:tcPr>
            <w:tcW w:w="0" w:type="dxa"/>
            <w:vAlign w:val="bottom"/>
          </w:tcPr>
          <w:p>
            <w:pPr>
              <w:spacing w:after="0"/>
              <w:rPr>
                <w:sz w:val="1"/>
                <w:szCs w:val="1"/>
                <w:color w:val="auto"/>
              </w:rPr>
            </w:pPr>
          </w:p>
        </w:tc>
      </w:tr>
      <w:tr>
        <w:trPr>
          <w:trHeight w:val="197"/>
        </w:trPr>
        <w:tc>
          <w:tcPr>
            <w:tcW w:w="6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-2605405</wp:posOffset>
            </wp:positionV>
            <wp:extent cx="946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-2605405</wp:posOffset>
            </wp:positionV>
            <wp:extent cx="93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-1464945</wp:posOffset>
            </wp:positionV>
            <wp:extent cx="94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-1448435</wp:posOffset>
            </wp:positionV>
            <wp:extent cx="94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-1464945</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-1448435</wp:posOffset>
            </wp:positionV>
            <wp:extent cx="939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-890905</wp:posOffset>
            </wp:positionV>
            <wp:extent cx="94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-890905</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94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 forth the potential dilutive shares that were excluded from the computation of diluted net income per share, because their effects were anti-dilutive: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160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620" w:type="dxa"/>
            <w:vAlign w:val="bottom"/>
            <w:tcBorders>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2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rights under the ESPP</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0"/>
        <w:spacing w:after="0" w:line="417" w:lineRule="auto"/>
        <w:rPr>
          <w:sz w:val="20"/>
          <w:szCs w:val="20"/>
          <w:color w:val="auto"/>
        </w:rPr>
      </w:pPr>
      <w:r>
        <w:rPr>
          <w:rFonts w:ascii="Times New Roman" w:cs="Times New Roman" w:eastAsia="Times New Roman" w:hAnsi="Times New Roman"/>
          <w:sz w:val="18"/>
          <w:szCs w:val="18"/>
          <w:b w:val="1"/>
          <w:bCs w:val="1"/>
          <w:color w:val="auto"/>
        </w:rPr>
        <w:t>NOTE 13: SEGMENT INFORMATION, GEOGRAPHIC INFORMATION AND CUSTOMER CONCENTRATION Segment Information</w:t>
      </w: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Historically, the Company had been managed and operated under two reportable segments: Broadband and Video. As a result of the separation and disposition (as defined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of the Video segment, the Company’s continuing operations now consist of a single reportable segment, Broadband. The Chief Executive Officer, who is the Company’s Chief Operating Decision Maker (“CODM”), now evaluates the performance of the Company and makes decisions regarding the allocation of resources based on the Company’s consolidated results. Our CODM does not evaluate operating results using asset or liability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measure of segment profit or loss, significant segment expenses and other segment items: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Less significant expenses and other segment items: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184,817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247,588</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209,384</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66,092</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65,458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66,435</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Asset impairment and related charges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71,536</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-1010920</wp:posOffset>
            </wp:positionV>
            <wp:extent cx="946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-1010920</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-454025</wp:posOffset>
            </wp:positionV>
            <wp:extent cx="946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-454025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946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Together with stock-based compensation, the Company does not allocate restructuring and related charges, lease-related and other charges, asset impairment charges and other non-recurring expenses to the operating income of its reportable segment because management does not include this information in the measurement of the performance of the operating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total revenues disaggregated by type: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2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267,048</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410,939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298,559</w:t>
            </w:r>
          </w:p>
        </w:tc>
        <w:tc>
          <w:tcPr>
            <w:tcW w:w="0" w:type="dxa"/>
            <w:vAlign w:val="bottom"/>
          </w:tcPr>
          <w:p>
            <w:pPr>
              <w:spacing w:after="0"/>
              <w:rPr>
                <w:sz w:val="1"/>
                <w:szCs w:val="1"/>
                <w:color w:val="auto"/>
              </w:rPr>
            </w:pPr>
          </w:p>
        </w:tc>
      </w:tr>
      <w:tr>
        <w:trPr>
          <w:trHeight w:val="216"/>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35,739</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35,470</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Appliance and integration</w:t>
            </w:r>
          </w:p>
        </w:tc>
        <w:tc>
          <w:tcPr>
            <w:tcW w:w="19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302,787</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433,795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334,029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SaaS and service</w:t>
            </w:r>
          </w:p>
        </w:tc>
        <w:tc>
          <w:tcPr>
            <w:tcW w:w="1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54,453</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9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-24765</wp:posOffset>
            </wp:positionV>
            <wp:extent cx="94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9461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93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total net revenues by geographic region: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42"/>
        </w:trPr>
        <w:tc>
          <w:tcPr>
            <w:tcW w:w="612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120" w:type="dxa"/>
            <w:vAlign w:val="bottom"/>
            <w:shd w:val="clear" w:color="auto" w:fill="CFF0FC"/>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4"/>
                <w:szCs w:val="24"/>
                <w:color w:val="auto"/>
                <w:vertAlign w:val="superscript"/>
              </w:rPr>
              <w:t>(1)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277,049</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421,679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307,614</w:t>
            </w:r>
          </w:p>
        </w:tc>
      </w:tr>
      <w:tr>
        <w:trPr>
          <w:trHeight w:val="216"/>
        </w:trPr>
        <w:tc>
          <w:tcPr>
            <w:tcW w:w="61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countries </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80,868</w:t>
            </w: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r>
      <w:tr>
        <w:trPr>
          <w:trHeight w:val="196"/>
        </w:trPr>
        <w:tc>
          <w:tcPr>
            <w:tcW w:w="61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320,570</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449,346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335,154</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50,994</w:t>
            </w:r>
          </w:p>
        </w:tc>
      </w:tr>
      <w:tr>
        <w:trPr>
          <w:trHeight w:val="216"/>
        </w:trPr>
        <w:tc>
          <w:tcPr>
            <w:tcW w:w="6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388,482</w:t>
            </w:r>
          </w:p>
        </w:tc>
      </w:tr>
      <w:tr>
        <w:trPr>
          <w:trHeight w:val="20"/>
        </w:trPr>
        <w:tc>
          <w:tcPr>
            <w:tcW w:w="6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-745490</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-728345</wp:posOffset>
            </wp:positionV>
            <wp:extent cx="94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-745490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-728345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946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93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Revenue is attributed to countries based on the location of the customer.</w:t>
      </w:r>
    </w:p>
    <w:p>
      <w:pPr>
        <w:spacing w:after="0" w:line="1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accounted for 10% or more of the Company’s net revenues for the years ended December 31, 2025,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9"/>
                <w:szCs w:val="19"/>
                <w:color w:val="auto"/>
              </w:rPr>
            </w:pPr>
          </w:p>
        </w:tc>
      </w:tr>
      <w:tr>
        <w:trPr>
          <w:trHeight w:val="142"/>
        </w:trPr>
        <w:tc>
          <w:tcPr>
            <w:tcW w:w="420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14,817</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16"/>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3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136"/>
        </w:trPr>
        <w:tc>
          <w:tcPr>
            <w:tcW w:w="4200" w:type="dxa"/>
            <w:vAlign w:val="bottom"/>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5"/>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95"/>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9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2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Top 2 customers </w:t>
            </w:r>
            <w:r>
              <w:rPr>
                <w:rFonts w:ascii="Times New Roman" w:cs="Times New Roman" w:eastAsia="Times New Roman" w:hAnsi="Times New Roman"/>
                <w:sz w:val="24"/>
                <w:szCs w:val="24"/>
                <w:color w:val="auto"/>
                <w:vertAlign w:val="superscript"/>
              </w:rPr>
              <w:t>(2)</w:t>
            </w:r>
          </w:p>
        </w:tc>
        <w:tc>
          <w:tcPr>
            <w:tcW w:w="19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221,787</w:t>
            </w:r>
          </w:p>
        </w:tc>
        <w:tc>
          <w:tcPr>
            <w:tcW w:w="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393,234</w:t>
            </w:r>
          </w:p>
        </w:tc>
        <w:tc>
          <w:tcPr>
            <w:tcW w:w="14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284,178</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Rest-of-world</w:t>
            </w:r>
          </w:p>
        </w:tc>
        <w:tc>
          <w:tcPr>
            <w:tcW w:w="1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138,736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94,966</w:t>
            </w: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104,304</w:t>
            </w: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360,523</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488,200</w:t>
            </w: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-942340</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-925195</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946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946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939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Based on largest subscriber footprint</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One customer accounted for 54% of the Company’s total net revenues during the years ended December 31, 2025. Two customers accounted for 57% and 24% of the Company’s total net revenues during the year ended December 31, 2024, respectively. One customer accounted for 64% of the Company’s total net revenues during the years ended December 31,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Guarantees and Standby Letters of Credit</w:t>
      </w:r>
    </w:p>
    <w:p>
      <w:pPr>
        <w:spacing w:after="0" w:line="14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has outstanding bank guarantees and standby letters of credit in aggregate of $3.0 million and $2.9 million, respectively, consisting of building leases and performance bonds issued to customers.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 Credit Agreement, with Citibank, N.A., as administrative agent for the lenders. The Credit Agreement refinanced and replaced the Company’s prior credit agreement, dated as of December 19, 2019, as amended, with JPMorgan Chase Bank, N.A., as lender. In July 2024, the Company amended the Credit Agreement to allow the Company and its subsidiaries to request letters of credit denominated in foreign currencies. In December 2024, the Company further amended the Credit Agreement to increase the revolving credit commitments. As of December 31, 2025, there were approximately $3.0 million of letters of credit outstanding under the Credit Agreement, and the Company was in compliance with the covenants under the Credit Agreement. Refer to Note 8, “Debt” for additional information regarding the Credit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obligated to indemnify its officers and its directors pursuant to its bylaws and contractual indemnity agreements. The Company also indemnifies some of its suppliers and most of its customers for specified intellectual property matters pursuant to certain contractual arrangements, subject to certain limitations. The scope of these indemnities varies, but, in some instances, includes indemnification for damages and expenses (including reasonable attorneys’ fees). There have been no amounts accrued in respect of the indemnification provisions through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approximately $44.5 million of commitments to purchase goods and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LEGAL PROCEEDINGS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The Company assesses potential liabilities in connection with each lawsuit and threatened lawsuits and accrues an estimated loss for these loss contingencies if both of the following conditions are met: (i) information available prior to issuance of the financial statements indicates that it is probable that a liability has been incurred at the date of the financial statements and (ii) the amount of loss can be reasonably estimated. While certain matters to which the Company is a party specify the damages claimed, such claims may not represent reasonably probable losses. Given the inherent uncertainties of litigation, the ultimate outcome of these matters cannot be predicted at this time, nor can the amount of possible loss or range of loss, if any, be reasonably estimated.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1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Subsequent to December 31, 2025, and through February 24, 2026, the Company used cash on hand to repay $30.0 million in outstanding loans under the Revolving Facility. As of February 24, 2026, $45.0 million in borrowings remained outstanding, and the Company had $112.0 million available to borrow under the Revolving Facility.</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Subsequent to December 31, 2025 and through February 24, 2026, the Company repurchased approximately 2.5 million shares of the Company’s common stock for an aggregate amount of $25.9 million pursuant to a 10b5-1 trading plan and open market purchases.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6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our disclosure controls and procedures were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(2013) issued by the Committee of Sponsoring Organizations of the Treadway Commission. Based on the Company’s assessment, management concluded that its internal control over financial reporting was effective as of December 31, 2025.</w:t>
      </w:r>
    </w:p>
    <w:p>
      <w:pPr>
        <w:spacing w:after="0" w:line="11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audited the effectiveness of the Company’s internal control over financial reporting, as stated in their report which appears in Part II, Item 8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planned disposition of the Video business and its classification as discontinued operations, the Company implemented additional controls over the preparation and review of discontinued operations financial information and related disclosures. These changes were part of our normal financial reporting process enhancements and did not materially affect our internal control over financial reporting.</w:t>
      </w:r>
    </w:p>
    <w:p>
      <w:pPr>
        <w:spacing w:after="0" w:line="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our fourth quarter of fiscal year 2025,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right="201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pursuant to Instruction G to Exchange Act Form 10-K, and the Registrant will file its definitive Proxy Statement for its 2026 Annual Meeting of Stockholders, pursuant to Regulation 14A of the Securities Exchange Act of 1934, as amended (the “2026 Proxy Statement”), not later than 120 days after the end of the fiscal year covered by this Annual Report on Form 10-K, and certain information included in the 2026 Proxy Statement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Harmonic has adopted a Code of Business Conduct and Ethics (the “Code”) that applies to all employees, including Harmonic’s Chief Executive Officer, Chief Financial Officer and Corporate Controller. The Code is available on the Company’s website at www.harmonicinc.com.</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Harmonic intends to satisfy the disclosure requirement under Form 8-K regarding an amendment to, or waiver from, a provision of this Code of Ethics by posting such information on our website, at the address specified above, and, to the extent required by the listing standards of the Nasdaq Global Select Market, by filing a Current Report on Form 8-K with the Securities and Exchange Commission disclosing such information.</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personnel of Harmonic and our subsidiaries, including directors, officers, and employees and, to certain other covered persons, as well as to Harmonic itself. We believe that our insider trading policy is reasonably designed to promote compliance with insider trading laws, rules, and regulations, as well as applicable listing standards. A copy of our insider trading policy is filed as Exhibit 19.1 to this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related to security ownership of certain beneficial owners and security ownership of management and related stockholder matters will be set forth in the 2026 Proxy Statement and is incorporated herein by reference.</w:t>
      </w:r>
    </w:p>
    <w:p>
      <w:pPr>
        <w:spacing w:after="0" w:line="212" w:lineRule="exact"/>
        <w:rPr>
          <w:sz w:val="20"/>
          <w:szCs w:val="20"/>
          <w:color w:val="auto"/>
        </w:rPr>
      </w:pPr>
    </w:p>
    <w:p>
      <w:pPr>
        <w:ind w:right="232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and is incorporated herein by reference.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46"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Index to Consolidated Financial Statements in Item 8 on page of this Annual Report on Form 10-K.</w:t>
      </w:r>
    </w:p>
    <w:p>
      <w:pPr>
        <w:spacing w:after="0" w:line="157" w:lineRule="exact"/>
        <w:rPr>
          <w:rFonts w:ascii="Times New Roman" w:cs="Times New Roman" w:eastAsia="Times New Roman" w:hAnsi="Times New Roman"/>
          <w:sz w:val="18"/>
          <w:szCs w:val="18"/>
          <w:color w:val="auto"/>
        </w:rPr>
      </w:pPr>
    </w:p>
    <w:p>
      <w:pPr>
        <w:ind w:right="360" w:firstLine="8"/>
        <w:spacing w:after="0" w:line="284"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Financial statement schedules have been omitted because the information is not required to be set forth herein,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included in the financial statements or the notes thereto.</w:t>
      </w:r>
    </w:p>
    <w:p>
      <w:pPr>
        <w:spacing w:after="0" w:line="90" w:lineRule="exact"/>
        <w:rPr>
          <w:rFonts w:ascii="Times New Roman" w:cs="Times New Roman" w:eastAsia="Times New Roman" w:hAnsi="Times New Roman"/>
          <w:sz w:val="18"/>
          <w:szCs w:val="18"/>
          <w:color w:val="auto"/>
        </w:rPr>
      </w:pPr>
    </w:p>
    <w:p>
      <w:pPr>
        <w:ind w:right="520" w:firstLine="8"/>
        <w:spacing w:after="0" w:line="284"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documents listed in the Exhibit Index of this Annual Report on Form 10-K are filed herewith or are incorporated by reference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in each case as indicated therein.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18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8"/>
        </w:trPr>
        <w:tc>
          <w:tcPr>
            <w:tcW w:w="560" w:type="dxa"/>
            <w:vAlign w:val="bottom"/>
          </w:tcPr>
          <w:p>
            <w:pPr>
              <w:spacing w:after="0"/>
              <w:rPr>
                <w:sz w:val="15"/>
                <w:szCs w:val="15"/>
                <w:color w:val="auto"/>
              </w:rPr>
            </w:pPr>
          </w:p>
        </w:tc>
        <w:tc>
          <w:tcPr>
            <w:tcW w:w="150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60" w:type="dxa"/>
            <w:vAlign w:val="bottom"/>
          </w:tcPr>
          <w:p>
            <w:pPr>
              <w:spacing w:after="0"/>
              <w:rPr>
                <w:sz w:val="19"/>
                <w:szCs w:val="19"/>
                <w:color w:val="auto"/>
              </w:rPr>
            </w:pPr>
          </w:p>
        </w:tc>
        <w:tc>
          <w:tcPr>
            <w:tcW w:w="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3.1 (i)</w:t>
            </w:r>
          </w:p>
        </w:tc>
        <w:tc>
          <w:tcPr>
            <w:tcW w:w="12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4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Certificate of Incorporation of Harmonic Inc., as amended</w:t>
              </w:r>
            </w:hyperlink>
          </w:p>
        </w:tc>
        <w:tc>
          <w:tcPr>
            <w:tcW w:w="4980" w:type="dxa"/>
            <w:vAlign w:val="bottom"/>
            <w:gridSpan w:val="19"/>
          </w:tcPr>
          <w:p>
            <w:pPr>
              <w:spacing w:after="0"/>
              <w:rPr>
                <w:sz w:val="19"/>
                <w:szCs w:val="19"/>
                <w:color w:val="auto"/>
              </w:rPr>
            </w:pPr>
          </w:p>
        </w:tc>
      </w:tr>
      <w:tr>
        <w:trPr>
          <w:trHeight w:val="236"/>
        </w:trPr>
        <w:tc>
          <w:tcPr>
            <w:tcW w:w="5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 (ii)</w:t>
            </w:r>
          </w:p>
        </w:tc>
        <w:tc>
          <w:tcPr>
            <w:tcW w:w="9180" w:type="dxa"/>
            <w:vAlign w:val="bottom"/>
            <w:gridSpan w:val="38"/>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Amended and Restated Bylaws of Harmonic Inc.</w:t>
              </w:r>
            </w:hyperlink>
          </w:p>
        </w:tc>
      </w:tr>
      <w:tr>
        <w:trPr>
          <w:trHeight w:val="277"/>
        </w:trPr>
        <w:tc>
          <w:tcPr>
            <w:tcW w:w="56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4.1 (iii)</w:t>
            </w:r>
          </w:p>
        </w:tc>
        <w:tc>
          <w:tcPr>
            <w:tcW w:w="35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5640" w:type="dxa"/>
            <w:vAlign w:val="bottom"/>
            <w:gridSpan w:val="21"/>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4.2 (iv)</w:t>
            </w:r>
          </w:p>
        </w:tc>
        <w:tc>
          <w:tcPr>
            <w:tcW w:w="8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Certificate of Designation of Rights, Preferences and Privileges of Series A Participating Preferred Stock of Harmonic Inc.</w:t>
              </w:r>
            </w:hyperlink>
          </w:p>
        </w:tc>
        <w:tc>
          <w:tcPr>
            <w:tcW w:w="320" w:type="dxa"/>
            <w:vAlign w:val="bottom"/>
            <w:gridSpan w:val="4"/>
          </w:tcPr>
          <w:p>
            <w:pPr>
              <w:spacing w:after="0"/>
              <w:rPr>
                <w:sz w:val="18"/>
                <w:szCs w:val="18"/>
                <w:color w:val="auto"/>
              </w:rPr>
            </w:pPr>
          </w:p>
        </w:tc>
      </w:tr>
      <w:tr>
        <w:trPr>
          <w:trHeight w:val="237"/>
        </w:trPr>
        <w:tc>
          <w:tcPr>
            <w:tcW w:w="56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4.3 (v)</w:t>
            </w:r>
          </w:p>
        </w:tc>
        <w:tc>
          <w:tcPr>
            <w:tcW w:w="2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Description of Common Stock</w:t>
              </w:r>
            </w:hyperlink>
          </w:p>
        </w:tc>
        <w:tc>
          <w:tcPr>
            <w:tcW w:w="20" w:type="dxa"/>
            <w:vAlign w:val="bottom"/>
            <w:tcBorders>
              <w:bottom w:val="single" w:sz="8" w:color="0000EE"/>
            </w:tcBorders>
          </w:tcPr>
          <w:p>
            <w:pPr>
              <w:spacing w:after="0"/>
              <w:rPr>
                <w:sz w:val="20"/>
                <w:szCs w:val="20"/>
                <w:color w:val="auto"/>
              </w:rPr>
            </w:pPr>
          </w:p>
        </w:tc>
        <w:tc>
          <w:tcPr>
            <w:tcW w:w="6940" w:type="dxa"/>
            <w:vAlign w:val="bottom"/>
            <w:gridSpan w:val="25"/>
          </w:tcPr>
          <w:p>
            <w:pPr>
              <w:spacing w:after="0"/>
              <w:rPr>
                <w:sz w:val="20"/>
                <w:szCs w:val="20"/>
                <w:color w:val="auto"/>
              </w:rPr>
            </w:pPr>
          </w:p>
        </w:tc>
      </w:tr>
      <w:tr>
        <w:trPr>
          <w:trHeight w:val="237"/>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Indemnification Agreement</w:t>
            </w:r>
          </w:p>
        </w:tc>
        <w:tc>
          <w:tcPr>
            <w:tcW w:w="20" w:type="dxa"/>
            <w:vAlign w:val="bottom"/>
            <w:tcBorders>
              <w:bottom w:val="single" w:sz="8" w:color="0000EE"/>
            </w:tcBorders>
          </w:tcPr>
          <w:p>
            <w:pPr>
              <w:spacing w:after="0"/>
              <w:rPr>
                <w:sz w:val="20"/>
                <w:szCs w:val="20"/>
                <w:color w:val="auto"/>
              </w:rPr>
            </w:pPr>
          </w:p>
        </w:tc>
        <w:tc>
          <w:tcPr>
            <w:tcW w:w="6520" w:type="dxa"/>
            <w:vAlign w:val="bottom"/>
            <w:gridSpan w:val="22"/>
          </w:tcPr>
          <w:p>
            <w:pPr>
              <w:spacing w:after="0"/>
              <w:rPr>
                <w:sz w:val="20"/>
                <w:szCs w:val="20"/>
                <w:color w:val="auto"/>
              </w:rPr>
            </w:pPr>
          </w:p>
        </w:tc>
      </w:tr>
      <w:tr>
        <w:trPr>
          <w:trHeight w:val="236"/>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9180" w:type="dxa"/>
            <w:vAlign w:val="bottom"/>
            <w:gridSpan w:val="38"/>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1995 Stock Plan, as amended and restated on June 11, 2024</w:t>
              </w:r>
            </w:hyperlink>
          </w:p>
        </w:tc>
      </w:tr>
      <w:tr>
        <w:trPr>
          <w:trHeight w:val="20"/>
        </w:trPr>
        <w:tc>
          <w:tcPr>
            <w:tcW w:w="9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48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2002 Director Stock Plan, as amended and restated on June 8, 2021</w:t>
              </w:r>
            </w:hyperlink>
          </w:p>
        </w:tc>
        <w:tc>
          <w:tcPr>
            <w:tcW w:w="20" w:type="dxa"/>
            <w:vAlign w:val="bottom"/>
            <w:tcBorders>
              <w:bottom w:val="single" w:sz="8" w:color="0000EE"/>
            </w:tcBorders>
          </w:tcPr>
          <w:p>
            <w:pPr>
              <w:spacing w:after="0"/>
              <w:rPr>
                <w:sz w:val="20"/>
                <w:szCs w:val="20"/>
                <w:color w:val="auto"/>
              </w:rPr>
            </w:pPr>
          </w:p>
        </w:tc>
        <w:tc>
          <w:tcPr>
            <w:tcW w:w="4300" w:type="dxa"/>
            <w:vAlign w:val="bottom"/>
            <w:gridSpan w:val="15"/>
          </w:tcPr>
          <w:p>
            <w:pPr>
              <w:spacing w:after="0"/>
              <w:rPr>
                <w:sz w:val="20"/>
                <w:szCs w:val="20"/>
                <w:color w:val="auto"/>
              </w:rPr>
            </w:pPr>
          </w:p>
        </w:tc>
      </w:tr>
      <w:tr>
        <w:trPr>
          <w:trHeight w:val="237"/>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7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2002 Employee Stock Purchase Plan, as amended and restated on June 12, 2025</w:t>
              </w:r>
            </w:hyperlink>
          </w:p>
        </w:tc>
        <w:tc>
          <w:tcPr>
            <w:tcW w:w="3400" w:type="dxa"/>
            <w:vAlign w:val="bottom"/>
            <w:gridSpan w:val="13"/>
          </w:tcPr>
          <w:p>
            <w:pPr>
              <w:spacing w:after="0"/>
              <w:rPr>
                <w:sz w:val="20"/>
                <w:szCs w:val="20"/>
                <w:color w:val="auto"/>
              </w:rPr>
            </w:pPr>
          </w:p>
        </w:tc>
      </w:tr>
      <w:tr>
        <w:trPr>
          <w:trHeight w:val="237"/>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19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2025 Equity Incentive Plan</w:t>
              </w:r>
            </w:hyperlink>
          </w:p>
        </w:tc>
        <w:tc>
          <w:tcPr>
            <w:tcW w:w="7200" w:type="dxa"/>
            <w:vAlign w:val="bottom"/>
            <w:gridSpan w:val="28"/>
          </w:tcPr>
          <w:p>
            <w:pPr>
              <w:spacing w:after="0"/>
              <w:rPr>
                <w:sz w:val="20"/>
                <w:szCs w:val="20"/>
                <w:color w:val="auto"/>
              </w:rPr>
            </w:pPr>
          </w:p>
        </w:tc>
      </w:tr>
      <w:tr>
        <w:trPr>
          <w:trHeight w:val="209"/>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8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Amended and Restated Change of Control Severance Agreement, dated as of February 3, 2026, between Harmonic Inc. and</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12">
              <w:r>
                <w:rPr>
                  <w:rFonts w:ascii="Times New Roman" w:cs="Times New Roman" w:eastAsia="Times New Roman" w:hAnsi="Times New Roman"/>
                  <w:sz w:val="18"/>
                  <w:szCs w:val="18"/>
                  <w:color w:val="0000FF"/>
                  <w:w w:val="98"/>
                </w:rPr>
                <w:t>Timothy Chu.</w:t>
              </w:r>
            </w:hyperlink>
          </w:p>
        </w:tc>
        <w:tc>
          <w:tcPr>
            <w:tcW w:w="20" w:type="dxa"/>
            <w:vAlign w:val="bottom"/>
            <w:tcBorders>
              <w:bottom w:val="single" w:sz="8" w:color="0000EE"/>
            </w:tcBorders>
          </w:tcPr>
          <w:p>
            <w:pPr>
              <w:spacing w:after="0"/>
              <w:rPr>
                <w:sz w:val="17"/>
                <w:szCs w:val="17"/>
                <w:color w:val="auto"/>
              </w:rPr>
            </w:pPr>
          </w:p>
        </w:tc>
        <w:tc>
          <w:tcPr>
            <w:tcW w:w="8140" w:type="dxa"/>
            <w:vAlign w:val="bottom"/>
            <w:gridSpan w:val="36"/>
          </w:tcPr>
          <w:p>
            <w:pPr>
              <w:spacing w:after="0"/>
              <w:rPr>
                <w:sz w:val="17"/>
                <w:szCs w:val="17"/>
                <w:color w:val="auto"/>
              </w:rPr>
            </w:pPr>
          </w:p>
        </w:tc>
      </w:tr>
      <w:tr>
        <w:trPr>
          <w:trHeight w:val="223"/>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(xi)*</w:t>
            </w:r>
          </w:p>
        </w:tc>
        <w:tc>
          <w:tcPr>
            <w:tcW w:w="9180" w:type="dxa"/>
            <w:vAlign w:val="bottom"/>
            <w:gridSpan w:val="38"/>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Offer Letter, dated as of May 10, 2023, between Harmonic Inc. and Walter Jankovic</w:t>
              </w:r>
            </w:hyperlink>
          </w:p>
        </w:tc>
      </w:tr>
      <w:tr>
        <w:trPr>
          <w:trHeight w:val="20"/>
        </w:trPr>
        <w:tc>
          <w:tcPr>
            <w:tcW w:w="9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(xii)*</w:t>
            </w:r>
          </w:p>
        </w:tc>
        <w:tc>
          <w:tcPr>
            <w:tcW w:w="8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Amended and Restated Change of Control Severance Agreement, dated as of February 3, 2026, between Harmonic Inc. and</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gridSpan w:val="38"/>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Walter Jankovic.</w:t>
              </w:r>
            </w:hyperlink>
          </w:p>
        </w:tc>
      </w:tr>
      <w:tr>
        <w:trPr>
          <w:trHeight w:val="20"/>
        </w:trPr>
        <w:tc>
          <w:tcPr>
            <w:tcW w:w="9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(xiii)*</w:t>
            </w:r>
          </w:p>
        </w:tc>
        <w:tc>
          <w:tcPr>
            <w:tcW w:w="88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Amended and Restated Change of Control Severance Agreement, dated as of November 30, 2023, between Harmonic Inc.</w:t>
              </w:r>
            </w:hyperlink>
          </w:p>
        </w:tc>
        <w:tc>
          <w:tcPr>
            <w:tcW w:w="320" w:type="dxa"/>
            <w:vAlign w:val="bottom"/>
            <w:gridSpan w:val="4"/>
          </w:tcPr>
          <w:p>
            <w:pPr>
              <w:spacing w:after="0"/>
              <w:rPr>
                <w:sz w:val="19"/>
                <w:szCs w:val="19"/>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gridSpan w:val="38"/>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and Neven Haltmayer</w:t>
              </w:r>
            </w:hyperlink>
          </w:p>
        </w:tc>
      </w:tr>
      <w:tr>
        <w:trPr>
          <w:trHeight w:val="20"/>
        </w:trPr>
        <w:tc>
          <w:tcPr>
            <w:tcW w:w="1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10.10</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(xiv)</w:t>
            </w:r>
          </w:p>
        </w:tc>
        <w:tc>
          <w:tcPr>
            <w:tcW w:w="79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Professional Service Agreement between Harmonic Inc. and Plexus Services Corp., dated September 22, 2003</w:t>
              </w:r>
            </w:hyperlink>
          </w:p>
        </w:tc>
        <w:tc>
          <w:tcPr>
            <w:tcW w:w="20" w:type="dxa"/>
            <w:vAlign w:val="bottom"/>
            <w:tcBorders>
              <w:bottom w:val="single" w:sz="8" w:color="0000EE"/>
            </w:tcBorders>
          </w:tcPr>
          <w:p>
            <w:pPr>
              <w:spacing w:after="0"/>
              <w:rPr>
                <w:sz w:val="20"/>
                <w:szCs w:val="20"/>
                <w:color w:val="auto"/>
              </w:rPr>
            </w:pPr>
          </w:p>
        </w:tc>
        <w:tc>
          <w:tcPr>
            <w:tcW w:w="1200" w:type="dxa"/>
            <w:vAlign w:val="bottom"/>
            <w:gridSpan w:val="9"/>
          </w:tcPr>
          <w:p>
            <w:pPr>
              <w:spacing w:after="0"/>
              <w:rPr>
                <w:sz w:val="20"/>
                <w:szCs w:val="20"/>
                <w:color w:val="auto"/>
              </w:rPr>
            </w:pPr>
          </w:p>
        </w:tc>
      </w:tr>
      <w:tr>
        <w:trPr>
          <w:trHeight w:val="236"/>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10.11</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w:t>
            </w:r>
          </w:p>
        </w:tc>
        <w:tc>
          <w:tcPr>
            <w:tcW w:w="8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Amendment, dated January 6, 2006, to the Professional Services Agreement for Manufacturing between Harmonic Inc. and</w:t>
              </w:r>
            </w:hyperlink>
          </w:p>
        </w:tc>
        <w:tc>
          <w:tcPr>
            <w:tcW w:w="240" w:type="dxa"/>
            <w:vAlign w:val="bottom"/>
            <w:gridSpan w:val="3"/>
          </w:tcPr>
          <w:p>
            <w:pPr>
              <w:spacing w:after="0"/>
              <w:rPr>
                <w:sz w:val="20"/>
                <w:szCs w:val="20"/>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gridSpan w:val="38"/>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Plexus Services Corp., dated September 22, 2003</w:t>
              </w:r>
            </w:hyperlink>
          </w:p>
        </w:tc>
      </w:tr>
      <w:tr>
        <w:trPr>
          <w:trHeight w:val="20"/>
        </w:trPr>
        <w:tc>
          <w:tcPr>
            <w:tcW w:w="1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10.12</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w:t>
            </w:r>
          </w:p>
        </w:tc>
        <w:tc>
          <w:tcPr>
            <w:tcW w:w="90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Addendum 1, dated November 26, 2007, to the Professional Services Agreement between Harmonic Inc. and Plexus Services</w:t>
              </w:r>
            </w:hyperlink>
          </w:p>
        </w:tc>
        <w:tc>
          <w:tcPr>
            <w:tcW w:w="100" w:type="dxa"/>
            <w:vAlign w:val="bottom"/>
          </w:tcPr>
          <w:p>
            <w:pPr>
              <w:spacing w:after="0"/>
              <w:rPr>
                <w:sz w:val="20"/>
                <w:szCs w:val="20"/>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gridSpan w:val="38"/>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Corp., dated September 22, 2003</w:t>
              </w:r>
            </w:hyperlink>
          </w:p>
        </w:tc>
      </w:tr>
      <w:tr>
        <w:trPr>
          <w:trHeight w:val="20"/>
        </w:trPr>
        <w:tc>
          <w:tcPr>
            <w:tcW w:w="1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3"/>
            <w:shd w:val="clear" w:color="auto" w:fill="0000FF"/>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36"/>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10.13</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(xvii)</w:t>
            </w:r>
          </w:p>
        </w:tc>
        <w:tc>
          <w:tcPr>
            <w:tcW w:w="8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Master Receivables Purchase Agreement dated as of September 29, 2023, by and between Harmonic Inc. and JPMorgan</w:t>
              </w:r>
            </w:hyperlink>
          </w:p>
        </w:tc>
        <w:tc>
          <w:tcPr>
            <w:tcW w:w="460" w:type="dxa"/>
            <w:vAlign w:val="bottom"/>
            <w:gridSpan w:val="5"/>
          </w:tcPr>
          <w:p>
            <w:pPr>
              <w:spacing w:after="0"/>
              <w:rPr>
                <w:sz w:val="20"/>
                <w:szCs w:val="20"/>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Chase Bank, N.A.</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33"/>
          </w:tcPr>
          <w:p>
            <w:pPr>
              <w:spacing w:after="0"/>
              <w:rPr>
                <w:sz w:val="17"/>
                <w:szCs w:val="17"/>
                <w:color w:val="auto"/>
              </w:rPr>
            </w:pPr>
          </w:p>
        </w:tc>
      </w:tr>
      <w:tr>
        <w:trPr>
          <w:trHeight w:val="237"/>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(xviii)</w:t>
            </w:r>
          </w:p>
        </w:tc>
        <w:tc>
          <w:tcPr>
            <w:tcW w:w="87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Credit Agreement, dated as of December 21, 2023, by and among Harmonic Inc., the lenders party thereto and Citibank,</w:t>
              </w:r>
            </w:hyperlink>
          </w:p>
        </w:tc>
        <w:tc>
          <w:tcPr>
            <w:tcW w:w="460" w:type="dxa"/>
            <w:vAlign w:val="bottom"/>
            <w:gridSpan w:val="5"/>
          </w:tcPr>
          <w:p>
            <w:pPr>
              <w:spacing w:after="0"/>
              <w:rPr>
                <w:sz w:val="20"/>
                <w:szCs w:val="20"/>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gridSpan w:val="38"/>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N.A., as administrative agent, swingline lender and L/C issuer</w:t>
              </w:r>
            </w:hyperlink>
          </w:p>
        </w:tc>
      </w:tr>
      <w:tr>
        <w:trPr>
          <w:trHeight w:val="20"/>
        </w:trPr>
        <w:tc>
          <w:tcPr>
            <w:tcW w:w="10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EE"/>
            </w:tcBorders>
            <w:gridSpan w:val="10"/>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237"/>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10.15</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(xix)</w:t>
            </w:r>
          </w:p>
        </w:tc>
        <w:tc>
          <w:tcPr>
            <w:tcW w:w="85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Third Amendment to Credit Agreement, dated as of December 23, 2024, by and among Harmonic Inc., the subsidiary</w:t>
              </w:r>
            </w:hyperlink>
          </w:p>
        </w:tc>
        <w:tc>
          <w:tcPr>
            <w:tcW w:w="660" w:type="dxa"/>
            <w:vAlign w:val="bottom"/>
            <w:gridSpan w:val="6"/>
          </w:tcPr>
          <w:p>
            <w:pPr>
              <w:spacing w:after="0"/>
              <w:rPr>
                <w:sz w:val="20"/>
                <w:szCs w:val="20"/>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9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guarantor party thereto, the lenders party thereto and Citibank, N.A.</w:t>
              </w:r>
            </w:hyperlink>
          </w:p>
        </w:tc>
        <w:tc>
          <w:tcPr>
            <w:tcW w:w="4280" w:type="dxa"/>
            <w:vAlign w:val="bottom"/>
            <w:gridSpan w:val="14"/>
          </w:tcPr>
          <w:p>
            <w:pPr>
              <w:spacing w:after="0"/>
              <w:rPr>
                <w:sz w:val="17"/>
                <w:szCs w:val="17"/>
                <w:color w:val="auto"/>
              </w:rPr>
            </w:pPr>
          </w:p>
        </w:tc>
      </w:tr>
      <w:tr>
        <w:trPr>
          <w:trHeight w:val="237"/>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10.16</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w:t>
            </w:r>
          </w:p>
        </w:tc>
        <w:tc>
          <w:tcPr>
            <w:tcW w:w="82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CEO Appointment Letter between Harmonic Video Networks Ltd. and Nimrod Ben-Natan, signed April 29, 2024.</w:t>
              </w:r>
            </w:hyperlink>
          </w:p>
        </w:tc>
        <w:tc>
          <w:tcPr>
            <w:tcW w:w="20" w:type="dxa"/>
            <w:vAlign w:val="bottom"/>
            <w:tcBorders>
              <w:bottom w:val="single" w:sz="8" w:color="0000EE"/>
            </w:tcBorders>
          </w:tcPr>
          <w:p>
            <w:pPr>
              <w:spacing w:after="0"/>
              <w:rPr>
                <w:sz w:val="20"/>
                <w:szCs w:val="20"/>
                <w:color w:val="auto"/>
              </w:rPr>
            </w:pPr>
          </w:p>
        </w:tc>
        <w:tc>
          <w:tcPr>
            <w:tcW w:w="900" w:type="dxa"/>
            <w:vAlign w:val="bottom"/>
            <w:gridSpan w:val="7"/>
          </w:tcPr>
          <w:p>
            <w:pPr>
              <w:spacing w:after="0"/>
              <w:rPr>
                <w:sz w:val="20"/>
                <w:szCs w:val="20"/>
                <w:color w:val="auto"/>
              </w:rPr>
            </w:pPr>
          </w:p>
        </w:tc>
      </w:tr>
      <w:tr>
        <w:trPr>
          <w:trHeight w:val="210"/>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10.17</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(xxi)*</w:t>
            </w:r>
          </w:p>
        </w:tc>
        <w:tc>
          <w:tcPr>
            <w:tcW w:w="89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Amended and Restated Change of Control Severance Agreement, dated as of February 3, 2026, between Harmonic Inc. and</w:t>
              </w:r>
            </w:hyperlink>
          </w:p>
        </w:tc>
        <w:tc>
          <w:tcPr>
            <w:tcW w:w="220" w:type="dxa"/>
            <w:vAlign w:val="bottom"/>
            <w:gridSpan w:val="2"/>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Nimrod Ben-Natan.</w:t>
              </w:r>
            </w:hyperlink>
          </w:p>
        </w:tc>
        <w:tc>
          <w:tcPr>
            <w:tcW w:w="20" w:type="dxa"/>
            <w:vAlign w:val="bottom"/>
            <w:tcBorders>
              <w:bottom w:val="single" w:sz="8" w:color="0000EE"/>
            </w:tcBorders>
          </w:tcPr>
          <w:p>
            <w:pPr>
              <w:spacing w:after="0"/>
              <w:rPr>
                <w:sz w:val="17"/>
                <w:szCs w:val="17"/>
                <w:color w:val="auto"/>
              </w:rPr>
            </w:pPr>
          </w:p>
        </w:tc>
        <w:tc>
          <w:tcPr>
            <w:tcW w:w="7720" w:type="dxa"/>
            <w:vAlign w:val="bottom"/>
            <w:gridSpan w:val="31"/>
          </w:tcPr>
          <w:p>
            <w:pPr>
              <w:spacing w:after="0"/>
              <w:rPr>
                <w:sz w:val="17"/>
                <w:szCs w:val="17"/>
                <w:color w:val="auto"/>
              </w:rPr>
            </w:pPr>
          </w:p>
        </w:tc>
      </w:tr>
      <w:tr>
        <w:trPr>
          <w:trHeight w:val="223"/>
        </w:trPr>
        <w:tc>
          <w:tcPr>
            <w:tcW w:w="10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10.18</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(xxii)</w:t>
            </w:r>
          </w:p>
        </w:tc>
        <w:tc>
          <w:tcPr>
            <w:tcW w:w="6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Put Option Agreement, dated December 8, 2025, between Harmonic Inc. and Leone Media Inc.*</w:t>
              </w:r>
            </w:hyperlink>
          </w:p>
        </w:tc>
        <w:tc>
          <w:tcPr>
            <w:tcW w:w="2200" w:type="dxa"/>
            <w:vAlign w:val="bottom"/>
            <w:gridSpan w:val="11"/>
          </w:tcPr>
          <w:p>
            <w:pPr>
              <w:spacing w:after="0"/>
              <w:rPr>
                <w:sz w:val="19"/>
                <w:szCs w:val="19"/>
                <w:color w:val="auto"/>
              </w:rPr>
            </w:pPr>
          </w:p>
        </w:tc>
      </w:tr>
      <w:tr>
        <w:trPr>
          <w:trHeight w:val="236"/>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19.1</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(xxiii)</w:t>
            </w:r>
          </w:p>
        </w:tc>
        <w:tc>
          <w:tcPr>
            <w:tcW w:w="9180" w:type="dxa"/>
            <w:vAlign w:val="bottom"/>
            <w:gridSpan w:val="38"/>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Insider Trading Policy</w:t>
              </w:r>
            </w:hyperlink>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Borders>
              <w:right w:val="single" w:sz="8" w:color="0000EE"/>
            </w:tcBorders>
            <w:gridSpan w:val="9"/>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20" w:type="dxa"/>
            <w:vAlign w:val="bottom"/>
            <w:gridSpan w:val="27"/>
          </w:tcPr>
          <w:p>
            <w:pPr>
              <w:spacing w:after="0" w:line="20" w:lineRule="exact"/>
              <w:rPr>
                <w:sz w:val="1"/>
                <w:szCs w:val="1"/>
                <w:color w:val="auto"/>
              </w:rPr>
            </w:pPr>
          </w:p>
        </w:tc>
      </w:tr>
      <w:tr>
        <w:trPr>
          <w:trHeight w:val="236"/>
        </w:trPr>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1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Subsidiaries of Harmonic Inc.</w:t>
            </w:r>
          </w:p>
        </w:tc>
      </w:tr>
      <w:tr>
        <w:trPr>
          <w:trHeight w:val="466"/>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Borders>
              <w:top w:val="single" w:sz="8" w:color="0000FF"/>
            </w:tcBorders>
            <w:gridSpan w:val="11"/>
          </w:tcPr>
          <w:p>
            <w:pPr>
              <w:spacing w:after="0"/>
              <w:rPr>
                <w:sz w:val="24"/>
                <w:szCs w:val="24"/>
                <w:color w:val="auto"/>
              </w:rPr>
            </w:pPr>
          </w:p>
        </w:tc>
        <w:tc>
          <w:tcPr>
            <w:tcW w:w="204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5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5"/>
              </w:rPr>
              <w:t>23.1</w:t>
            </w:r>
          </w:p>
        </w:tc>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50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5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5"/>
              </w:rPr>
              <w:t>31.1</w:t>
            </w:r>
          </w:p>
        </w:tc>
        <w:tc>
          <w:tcPr>
            <w:tcW w:w="8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36"/>
        </w:trPr>
        <w:tc>
          <w:tcPr>
            <w:tcW w:w="15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5"/>
              </w:rPr>
              <w:t>31.2</w:t>
            </w:r>
          </w:p>
        </w:tc>
        <w:tc>
          <w:tcPr>
            <w:tcW w:w="7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0" w:type="dxa"/>
            <w:vAlign w:val="bottom"/>
            <w:tcBorders>
              <w:top w:val="single" w:sz="8" w:color="0000FF"/>
              <w:bottom w:val="single" w:sz="8" w:color="0000EE"/>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0" w:type="dxa"/>
            <w:vAlign w:val="bottom"/>
            <w:gridSpan w:val="2"/>
          </w:tcPr>
          <w:p>
            <w:pPr>
              <w:spacing w:after="0"/>
              <w:rPr>
                <w:sz w:val="20"/>
                <w:szCs w:val="20"/>
                <w:color w:val="auto"/>
              </w:rPr>
            </w:pPr>
          </w:p>
        </w:tc>
      </w:tr>
      <w:tr>
        <w:trPr>
          <w:trHeight w:val="237"/>
        </w:trPr>
        <w:tc>
          <w:tcPr>
            <w:tcW w:w="15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5"/>
              </w:rPr>
              <w:t>32.1</w:t>
            </w:r>
          </w:p>
        </w:tc>
        <w:tc>
          <w:tcPr>
            <w:tcW w:w="8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96"/>
        </w:trPr>
        <w:tc>
          <w:tcPr>
            <w:tcW w:w="1500" w:type="dxa"/>
            <w:vAlign w:val="bottom"/>
          </w:tcPr>
          <w:p>
            <w:pPr>
              <w:spacing w:after="0"/>
              <w:rPr>
                <w:sz w:val="17"/>
                <w:szCs w:val="17"/>
                <w:color w:val="auto"/>
              </w:rPr>
            </w:pPr>
          </w:p>
        </w:tc>
        <w:tc>
          <w:tcPr>
            <w:tcW w:w="8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50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5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95"/>
              </w:rPr>
              <w:t>32.2</w:t>
            </w:r>
          </w:p>
        </w:tc>
        <w:tc>
          <w:tcPr>
            <w:tcW w:w="8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60" w:type="dxa"/>
            <w:vAlign w:val="bottom"/>
          </w:tcPr>
          <w:p>
            <w:pPr>
              <w:spacing w:after="0"/>
              <w:rPr>
                <w:sz w:val="20"/>
                <w:szCs w:val="20"/>
                <w:color w:val="auto"/>
              </w:rPr>
            </w:pPr>
          </w:p>
        </w:tc>
      </w:tr>
      <w:tr>
        <w:trPr>
          <w:trHeight w:val="196"/>
        </w:trPr>
        <w:tc>
          <w:tcPr>
            <w:tcW w:w="1500" w:type="dxa"/>
            <w:vAlign w:val="bottom"/>
          </w:tcPr>
          <w:p>
            <w:pPr>
              <w:spacing w:after="0"/>
              <w:rPr>
                <w:sz w:val="17"/>
                <w:szCs w:val="17"/>
                <w:color w:val="auto"/>
              </w:rPr>
            </w:pPr>
          </w:p>
        </w:tc>
        <w:tc>
          <w:tcPr>
            <w:tcW w:w="88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50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100"/>
          </w:cols>
          <w:pgMar w:left="320" w:top="117" w:right="479" w:bottom="1440" w:gutter="0" w:footer="0" w:header="0"/>
        </w:sectPr>
      </w:pPr>
    </w:p>
    <w:p>
      <w:pPr>
        <w:ind w:left="560"/>
        <w:spacing w:after="0"/>
        <w:rPr>
          <w:sz w:val="20"/>
          <w:szCs w:val="20"/>
          <w:color w:val="auto"/>
        </w:rPr>
      </w:pPr>
      <w:r>
        <w:rPr>
          <w:rFonts w:ascii="Times New Roman" w:cs="Times New Roman" w:eastAsia="Times New Roman" w:hAnsi="Times New Roman"/>
          <w:sz w:val="17"/>
          <w:szCs w:val="17"/>
          <w:color w:val="auto"/>
        </w:rPr>
        <w:t>97.1 (xxiv)</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Compensation Recovery Policy dated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476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following materials from Registrant’s Annual Report on Form 10-K for the year ended December 31, 2025, formatted in Inline Extensible Business Reporting Language (XBRL) includes: Consolidated Balance Sheets at December 31, 2025 and December 31, 2024; (ii) Consolidated Statements of Operations for the Years Ended December 31, 2025, December 31, 2024 and December 31, 2023; (iii) Consolidated Statements of Comprehensive Income for the Years Ended December 31, 2025, December 31, 2024 and December 31, 2023; (iv) Consolidated Statements of Stockholders’ Equity for the Years Ended December 31, 2025, December 31, 2024 and December 31, 2023; (v) Consolidated Statements of Cash Flows for the Years Ended December 31, 2025, December 31, 2024 and December 31, 2023; and (vi) Notes to Consolidated Financial Statements.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p>
      <w:pPr>
        <w:spacing w:after="0" w:line="180" w:lineRule="exact"/>
        <w:rPr>
          <w:sz w:val="20"/>
          <w:szCs w:val="20"/>
          <w:color w:val="auto"/>
        </w:rPr>
      </w:pPr>
    </w:p>
    <w:p>
      <w:pPr>
        <w:sectPr>
          <w:pgSz w:w="11900" w:h="16838" w:orient="portrait"/>
          <w:cols w:equalWidth="0" w:num="2">
            <w:col w:w="1360" w:space="700"/>
            <w:col w:w="9040"/>
          </w:cols>
          <w:pgMar w:left="320" w:top="11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 relating to executive officers or directors of the Company.</w:t>
      </w:r>
    </w:p>
    <w:p>
      <w:pPr>
        <w:spacing w:after="0" w:line="158" w:lineRule="exact"/>
        <w:rPr>
          <w:sz w:val="20"/>
          <w:szCs w:val="20"/>
          <w:color w:val="auto"/>
        </w:rPr>
      </w:pPr>
    </w:p>
    <w:p>
      <w:pPr>
        <w:ind w:right="300" w:firstLine="8"/>
        <w:spacing w:after="0" w:line="282" w:lineRule="auto"/>
        <w:tabs>
          <w:tab w:leader="none" w:pos="1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this exhibit and filed such exhibit separately with the Securities and Exchange Commission pursuant to a grant of confidential treatment under Rule 406 promulgated under the Securities Act.</w:t>
      </w:r>
    </w:p>
    <w:p>
      <w:pPr>
        <w:spacing w:after="0" w:line="81" w:lineRule="exact"/>
        <w:rPr>
          <w:sz w:val="20"/>
          <w:szCs w:val="20"/>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2001.</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for the three months ended September 29, 2023.</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S-1 No. 33-90752.</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dated July 25, 2002.</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for the year ended December 31, 2019.</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November 1, 2024.</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August 20, 2021.</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June 12, 2025.</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S-8, dated June 12, 2025.</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22, 2023.</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6, 2023.</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Annual Report on Form 10-K for the year ended December 31, 2008.</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October 4, 2023.</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21, 2023.</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26, 2024.</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April 29, 2024.</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9, 2026.</w:t>
      </w:r>
    </w:p>
    <w:p>
      <w:pPr>
        <w:spacing w:after="0" w:line="14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9, 2025.</w:t>
      </w:r>
    </w:p>
    <w:p>
      <w:pPr>
        <w:spacing w:after="0" w:line="15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the Company’s Annual Report on Form 10-K for the year ended December 31, 2024.</w:t>
      </w:r>
    </w:p>
    <w:p>
      <w:pPr>
        <w:spacing w:after="0" w:line="169" w:lineRule="exact"/>
        <w:rPr>
          <w:rFonts w:ascii="Times New Roman" w:cs="Times New Roman" w:eastAsia="Times New Roman" w:hAnsi="Times New Roman"/>
          <w:sz w:val="17"/>
          <w:szCs w:val="17"/>
          <w:color w:val="auto"/>
        </w:rPr>
      </w:pPr>
    </w:p>
    <w:p>
      <w:pPr>
        <w:ind w:left="760" w:hanging="752"/>
        <w:spacing w:after="0"/>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as an exhibit to the Company’s Annual Report on Form 10-K for the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Harmonic Inc., a Delaware corporation, has duly caused this Annual Report on Form 10-K to be signed on its behalf by the undersigned, thereunto duly authorized, in the City of San Jose, State of California, on February 24, 2026.</w:t>
      </w:r>
    </w:p>
    <w:p>
      <w:pPr>
        <w:spacing w:after="0" w:line="10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HARMONIC INC.</w:t>
      </w:r>
    </w:p>
    <w:p>
      <w:pPr>
        <w:spacing w:after="0" w:line="229" w:lineRule="exact"/>
        <w:rPr>
          <w:sz w:val="20"/>
          <w:szCs w:val="20"/>
          <w:color w:val="auto"/>
        </w:rPr>
      </w:pPr>
    </w:p>
    <w:p>
      <w:pPr>
        <w:ind w:left="6240"/>
        <w:spacing w:after="0"/>
        <w:tabs>
          <w:tab w:leader="none" w:pos="6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NIMROD BEN-NATAN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17145</wp:posOffset>
            </wp:positionV>
            <wp:extent cx="27857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Nimrod Ben-Natan</w:t>
      </w:r>
    </w:p>
    <w:p>
      <w:pPr>
        <w:ind w:left="69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pacing w:after="0" w:line="88" w:lineRule="exact"/>
        <w:rPr>
          <w:sz w:val="20"/>
          <w:szCs w:val="20"/>
          <w:color w:val="auto"/>
        </w:rPr>
      </w:pPr>
    </w:p>
    <w:p>
      <w:pPr>
        <w:ind w:left="1380"/>
        <w:spacing w:after="0"/>
        <w:tabs>
          <w:tab w:leader="none" w:pos="5880" w:val="left"/>
          <w:tab w:leader="none" w:pos="98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NIMROD BEN-NATAN</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President &amp; Chief Executive Officer (Principal Executive Officer)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2"/>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(Nimrod Ben-Natan)</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80"/>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WALTER JANKOVIC</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(Walter Jankovic)</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PATRICK GALLAGHER</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Chairperson</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(Patrick Gallagher)</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DAN WHALEN</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(Dan Whalen)</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DAVID KRALL</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(David Krall)</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DEBORAH L. CLIFFORD</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7"/>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Deborah L. Clifford)</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5"/>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DANA CRANDALL</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(Dana Crandall)</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NEEL DEV</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(Neel Dev)</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79"/>
        </w:trPr>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STEPHANIE COPELAND</w:t>
            </w:r>
          </w:p>
        </w:tc>
        <w:tc>
          <w:tcPr>
            <w:tcW w:w="5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w w:val="98"/>
              </w:rPr>
              <w:t>February 24, 2026</w:t>
            </w:r>
          </w:p>
        </w:tc>
      </w:tr>
      <w:tr>
        <w:trPr>
          <w:trHeight w:val="203"/>
        </w:trPr>
        <w:tc>
          <w:tcPr>
            <w:tcW w:w="3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(Stephanie Copeland)</w:t>
            </w:r>
          </w:p>
        </w:tc>
        <w:tc>
          <w:tcPr>
            <w:tcW w:w="54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HARMONIC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This Indemnification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entered into as of the ___ day of ______, _____ by and between Harmonic Inc.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________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29" w:lineRule="exact"/>
        <w:rPr>
          <w:sz w:val="20"/>
          <w:szCs w:val="20"/>
          <w:color w:val="auto"/>
        </w:rPr>
      </w:pPr>
    </w:p>
    <w:p>
      <w:pPr>
        <w:jc w:val="both"/>
        <w:ind w:firstLine="300"/>
        <w:spacing w:after="0" w:line="269" w:lineRule="auto"/>
        <w:rPr>
          <w:sz w:val="20"/>
          <w:szCs w:val="20"/>
          <w:color w:val="auto"/>
        </w:rPr>
      </w:pPr>
      <w:r>
        <w:rPr>
          <w:rFonts w:ascii="Times New Roman" w:cs="Times New Roman" w:eastAsia="Times New Roman" w:hAnsi="Times New Roman"/>
          <w:sz w:val="20"/>
          <w:szCs w:val="20"/>
          <w:color w:val="auto"/>
        </w:rPr>
        <w:t>A. The Company and Indemnitee recognize the continued difficulty in obtaining liability insurance for its directors, officers, employees, agents and fiduciaries, the significant increases in the cost of such insurance and the general reductions in the coverage of such insurance.</w:t>
      </w:r>
    </w:p>
    <w:p>
      <w:pPr>
        <w:spacing w:after="0" w:line="173"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20"/>
          <w:szCs w:val="20"/>
          <w:color w:val="auto"/>
        </w:rPr>
        <w:t>B. The Company and Indemnitee further recognize the substantial increase in corporate litigation in general, subjecting directors, officers, employees, agents and fiduciaries to expensive litigation risks at the same time as the availability and coverage of liability insurance has been severely limited.</w:t>
      </w:r>
    </w:p>
    <w:p>
      <w:pPr>
        <w:spacing w:after="0" w:line="18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20"/>
          <w:szCs w:val="20"/>
          <w:color w:val="auto"/>
        </w:rPr>
        <w:t>C. Indemnitee does not regard the current protection available as adequate under the present circumstances, and Indemnitee and other directors, officers, employees, agents and fiduciaries of the Company may not be willing to continue to serve in such capacities without additional protection.</w:t>
      </w:r>
    </w:p>
    <w:p>
      <w:pPr>
        <w:spacing w:after="0" w:line="18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20"/>
          <w:szCs w:val="20"/>
          <w:color w:val="auto"/>
        </w:rPr>
        <w:t>D. The Company desires to attract and retain the services of highly qualified individuals, such as Indemnitee, to serve the Company and, in part, in order to induce Indemnitee to continue to provide services to the Company, wishes to provide for the indemnification and advancing of expenses to Indemnitee to the maximum extent permitted by law.</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E. In view of the considerations set forth above, the Company desires that Indemnitee be indemnified by the Company as set forth herein.</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NOW, THEREFORE, the Company and Indemnitee hereby agree as follows:</w:t>
      </w:r>
    </w:p>
    <w:p>
      <w:pPr>
        <w:spacing w:after="0" w:line="229" w:lineRule="exact"/>
        <w:rPr>
          <w:sz w:val="20"/>
          <w:szCs w:val="20"/>
          <w:color w:val="auto"/>
        </w:rPr>
      </w:pPr>
    </w:p>
    <w:p>
      <w:pPr>
        <w:ind w:left="500" w:hanging="192"/>
        <w:spacing w:after="0"/>
        <w:tabs>
          <w:tab w:leader="none" w:pos="5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p>
    <w:p>
      <w:pPr>
        <w:spacing w:after="0" w:line="22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Indemnification of Expenses.</w:t>
      </w:r>
      <w:r>
        <w:rPr>
          <w:rFonts w:ascii="Times New Roman" w:cs="Times New Roman" w:eastAsia="Times New Roman" w:hAnsi="Times New Roman"/>
          <w:sz w:val="20"/>
          <w:szCs w:val="20"/>
          <w:color w:val="auto"/>
        </w:rPr>
        <w:t xml:space="preserve"> The Company shall indemnify Indemnitee to the fullest extent permitted by law if Indemnitee was or is or becomes a party to or witness or other participant in, or is threatened to be made a party to or witness or other participant in, any threatened, pending or completed action, suit, proceeding or alternative dispute resolution mechanism, or any hearing, inquiry or investigation that Indemnitee in good faith believes might lead to the institution of any such action, suit, proceeding or alternative dispute resolution mechanism, whether civil, criminal, administrative, investigative or other (hereinafter a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by reason of (or arising in part out of) any event or occurrence related to the fact that Indemnitee is or was a director, officer, employee, agent or fiduciary of the Company, or any subsidiary of the Company, or is or was serving at the request of the Company as a director, officer, employee, agent or fiduciary of another corporation, partnership, joint venture, trust or other enterprise, or by reason of any action or inaction on the part of Indemnitee while serving in such capacity (hereinafter an “</w:t>
      </w:r>
      <w:r>
        <w:rPr>
          <w:rFonts w:ascii="Times New Roman" w:cs="Times New Roman" w:eastAsia="Times New Roman" w:hAnsi="Times New Roman"/>
          <w:sz w:val="20"/>
          <w:szCs w:val="20"/>
          <w:b w:val="1"/>
          <w:bCs w:val="1"/>
          <w:color w:val="auto"/>
        </w:rPr>
        <w:t>Indemnifiable Event</w:t>
      </w:r>
      <w:r>
        <w:rPr>
          <w:rFonts w:ascii="Times New Roman" w:cs="Times New Roman" w:eastAsia="Times New Roman" w:hAnsi="Times New Roman"/>
          <w:sz w:val="20"/>
          <w:szCs w:val="20"/>
          <w:color w:val="auto"/>
        </w:rPr>
        <w:t>”) against any and all expenses (including attorneys’ fees and all other costs, expenses and obligations incurred in connection with investigating, defending, being a witness in or participating in (including on appeal), or preparing to defend, be a witness in or participate in, any such action, suit, proceeding, alternative dispute resolution mechanism, hearing, inquiry or investigation), judgments, fines, penalties and amounts paid in settlement (if such settlement is approved in advance by the Company, which approval shall not be unreasonably withheld) of such Claim and any federal, state,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3" w:name="page94"/>
    <w:bookmarkEnd w:id="93"/>
    <w:p>
      <w:pPr>
        <w:jc w:val="both"/>
        <w:spacing w:after="0" w:line="249" w:lineRule="auto"/>
        <w:rPr>
          <w:sz w:val="20"/>
          <w:szCs w:val="20"/>
          <w:color w:val="auto"/>
        </w:rPr>
      </w:pPr>
      <w:r>
        <w:rPr>
          <w:rFonts w:ascii="Times New Roman" w:cs="Times New Roman" w:eastAsia="Times New Roman" w:hAnsi="Times New Roman"/>
          <w:sz w:val="20"/>
          <w:szCs w:val="20"/>
          <w:color w:val="auto"/>
        </w:rPr>
        <w:t>local or foreign taxes imposed on Indemnitee as a result of the actual or deemed receipt of any payments under this Agreement (collectively, hereinafter “</w:t>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including all interest, assessments and other charges paid or payable in connection with or in respect of such Expenses. Such payment of Expenses shall be made by the Company as soon as practicable but in any event no later than five days after written demand by Indemnitee therefor is presented to the Company.</w:t>
      </w:r>
    </w:p>
    <w:p>
      <w:pPr>
        <w:spacing w:after="0" w:line="193" w:lineRule="exact"/>
        <w:rPr>
          <w:sz w:val="20"/>
          <w:szCs w:val="20"/>
          <w:color w:val="auto"/>
        </w:rPr>
      </w:pPr>
    </w:p>
    <w:p>
      <w:pPr>
        <w:jc w:val="both"/>
        <w:ind w:firstLine="457"/>
        <w:spacing w:after="0"/>
        <w:tabs>
          <w:tab w:leader="none" w:pos="72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Reviewing Party.</w:t>
      </w:r>
      <w:r>
        <w:rPr>
          <w:rFonts w:ascii="Times New Roman" w:cs="Times New Roman" w:eastAsia="Times New Roman" w:hAnsi="Times New Roman"/>
          <w:sz w:val="20"/>
          <w:szCs w:val="20"/>
          <w:color w:val="auto"/>
        </w:rPr>
        <w:t xml:space="preserve"> Notwithstanding the foregoing, (i) the obligations of the Company under Section 1(a) shall be subject to the condition that the Reviewing Party (as described in Section 10(e) hereof) shall not have determined (in a written opinion, in any case in which the Independent Legal Counsel referred to in Section 1(c) hereof is involved) that Indemnitee would not be permitted to be indemnified under applicable law, and (ii) the obligation of the Company to make an advance payment of Expenses to Indemnitee pursuant to Section 2(a) (an “</w:t>
      </w:r>
      <w:r>
        <w:rPr>
          <w:rFonts w:ascii="Times New Roman" w:cs="Times New Roman" w:eastAsia="Times New Roman" w:hAnsi="Times New Roman"/>
          <w:sz w:val="20"/>
          <w:szCs w:val="20"/>
          <w:b w:val="1"/>
          <w:bCs w:val="1"/>
          <w:color w:val="auto"/>
        </w:rPr>
        <w:t>Expense Advance</w:t>
      </w:r>
      <w:r>
        <w:rPr>
          <w:rFonts w:ascii="Times New Roman" w:cs="Times New Roman" w:eastAsia="Times New Roman" w:hAnsi="Times New Roman"/>
          <w:sz w:val="20"/>
          <w:szCs w:val="20"/>
          <w:color w:val="auto"/>
        </w:rPr>
        <w:t>”)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obligation to reimburse the Company for any Expense Advance shall be unsecured and no interest shall be charged thereon. If there has not been a Change in Control (as defined in Section 10(c) hereof),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1(c) hereof. If there has been no determination by the Reviewing Party or if the Reviewing Party determines that Indemnitee substantively would not be permitted to be indemnified in whole or in part under applicable law, Indemnitee shall have the right to commence litigation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219" w:lineRule="exact"/>
        <w:rPr>
          <w:rFonts w:ascii="Times New Roman" w:cs="Times New Roman" w:eastAsia="Times New Roman" w:hAnsi="Times New Roman"/>
          <w:sz w:val="20"/>
          <w:szCs w:val="20"/>
          <w:color w:val="auto"/>
        </w:rPr>
      </w:pPr>
    </w:p>
    <w:p>
      <w:pPr>
        <w:jc w:val="both"/>
        <w:ind w:firstLine="457"/>
        <w:spacing w:after="0" w:line="242" w:lineRule="auto"/>
        <w:tabs>
          <w:tab w:leader="none" w:pos="7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Indemnitees to payments of Expenses and Expense Advances under this Agreement or any other agreement or under the Company's Certificate of Incorporation or Bylaws as now or hereafter in effect, Independent Legal Counsel (as defined in Section 10(d) hereof) shall be selected by Indemnitee and approved by the Company (which approval shall not be unreasonably withheld). Such counsel, among other things, shall render its written opinion to the Company and Indemnitee as to whether and to what extent Indemnitee would be permitted to be indemnified under applicable law and the Company agrees to abide by such opinion. The Company agrees to pay the reasonable fees of the Independent Legal Counsel referred to above and to fully indemnify such counsel against any and all expenses (including attorneys’ fees), claims, liabilities and damages arising out of or relating to this Agreement or its engagement pursuant hereto.</w:t>
      </w:r>
    </w:p>
    <w:p>
      <w:pPr>
        <w:spacing w:after="0" w:line="205" w:lineRule="exact"/>
        <w:rPr>
          <w:rFonts w:ascii="Times New Roman" w:cs="Times New Roman" w:eastAsia="Times New Roman" w:hAnsi="Times New Roman"/>
          <w:sz w:val="20"/>
          <w:szCs w:val="20"/>
          <w:color w:val="auto"/>
        </w:rPr>
      </w:pPr>
    </w:p>
    <w:p>
      <w:pPr>
        <w:jc w:val="both"/>
        <w:ind w:firstLine="457"/>
        <w:spacing w:after="0" w:line="254" w:lineRule="auto"/>
        <w:tabs>
          <w:tab w:leader="none" w:pos="72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Payment of Expenses</w:t>
      </w:r>
      <w:r>
        <w:rPr>
          <w:rFonts w:ascii="Times New Roman" w:cs="Times New Roman" w:eastAsia="Times New Roman" w:hAnsi="Times New Roman"/>
          <w:sz w:val="20"/>
          <w:szCs w:val="20"/>
          <w:color w:val="auto"/>
        </w:rPr>
        <w:t>. Notwithstanding any other provision of this Agreement other than Section 9 hereof, to the extent that Indemnitee has been successful on the merits or otherwise, including, without limitation, the dismissal of an action without prejudice, in defense of any action, suit,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269" w:lineRule="auto"/>
        <w:rPr>
          <w:sz w:val="20"/>
          <w:szCs w:val="20"/>
          <w:color w:val="auto"/>
        </w:rPr>
      </w:pPr>
      <w:r>
        <w:rPr>
          <w:rFonts w:ascii="Times New Roman" w:cs="Times New Roman" w:eastAsia="Times New Roman" w:hAnsi="Times New Roman"/>
          <w:sz w:val="20"/>
          <w:szCs w:val="20"/>
          <w:color w:val="auto"/>
        </w:rPr>
        <w:t>proceeding, inquiry or investigation referred to in Section (1)(a) hereof or in the defense of any claim, issue or matter therein, Indemnitee shall be indemnified against all Expenses incurred by Indemnitee in connection therewith.</w:t>
      </w:r>
    </w:p>
    <w:p>
      <w:pPr>
        <w:spacing w:after="0" w:line="173" w:lineRule="exact"/>
        <w:rPr>
          <w:sz w:val="20"/>
          <w:szCs w:val="20"/>
          <w:color w:val="auto"/>
        </w:rPr>
      </w:pPr>
    </w:p>
    <w:p>
      <w:pPr>
        <w:ind w:left="500" w:hanging="192"/>
        <w:spacing w:after="0"/>
        <w:tabs>
          <w:tab w:leader="none" w:pos="5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 Indemnification Procedure.</w:t>
      </w:r>
    </w:p>
    <w:p>
      <w:pPr>
        <w:spacing w:after="0" w:line="229" w:lineRule="exact"/>
        <w:rPr>
          <w:rFonts w:ascii="Times New Roman" w:cs="Times New Roman" w:eastAsia="Times New Roman" w:hAnsi="Times New Roman"/>
          <w:sz w:val="20"/>
          <w:szCs w:val="20"/>
          <w:color w:val="auto"/>
        </w:rPr>
      </w:pPr>
    </w:p>
    <w:p>
      <w:pPr>
        <w:jc w:val="both"/>
        <w:ind w:firstLine="457"/>
        <w:spacing w:after="0" w:line="254" w:lineRule="auto"/>
        <w:tabs>
          <w:tab w:leader="none" w:pos="71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Advancement of Expenses.</w:t>
      </w:r>
      <w:r>
        <w:rPr>
          <w:rFonts w:ascii="Times New Roman" w:cs="Times New Roman" w:eastAsia="Times New Roman" w:hAnsi="Times New Roman"/>
          <w:sz w:val="20"/>
          <w:szCs w:val="20"/>
          <w:color w:val="auto"/>
        </w:rPr>
        <w:t xml:space="preserve"> The Company shall advance all Expenses incurred by Indemnitee. The advances to be made hereunder shall be paid by the Company to Indemnitee as soon as practicable but in any event no later than five days after written demand by Indemnitee therefor to the Company.</w:t>
      </w:r>
    </w:p>
    <w:p>
      <w:pPr>
        <w:spacing w:after="0" w:line="187" w:lineRule="exact"/>
        <w:rPr>
          <w:rFonts w:ascii="Times New Roman" w:cs="Times New Roman" w:eastAsia="Times New Roman" w:hAnsi="Times New Roman"/>
          <w:sz w:val="20"/>
          <w:szCs w:val="20"/>
          <w:color w:val="auto"/>
        </w:rPr>
      </w:pPr>
    </w:p>
    <w:p>
      <w:pPr>
        <w:jc w:val="both"/>
        <w:ind w:firstLine="457"/>
        <w:spacing w:after="0" w:line="245" w:lineRule="auto"/>
        <w:tabs>
          <w:tab w:leader="none" w:pos="743"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Notice/Cooperation by Indemnitee.</w:t>
      </w:r>
      <w:r>
        <w:rPr>
          <w:rFonts w:ascii="Times New Roman" w:cs="Times New Roman" w:eastAsia="Times New Roman" w:hAnsi="Times New Roman"/>
          <w:sz w:val="20"/>
          <w:szCs w:val="20"/>
          <w:color w:val="auto"/>
        </w:rPr>
        <w:t xml:space="preserve"> Indemnitee shall, as a condition precedent to Indemnitees’ right to be indemnified under this Agreement, give the Company notice in writing as soon as practicable of any Claim made against Indemnitee for which indemnification will or could be sought under this Agreement. Notice to the Company shall be directed to the Chief Executive Officer of the Company at the address shown on the signature page of this Agreement (or such other address as the Company shall designate in writing to Indemnitee). In addition, Indemnitee shall give the Company such information and cooperation as it may reasonably require and as shall be within Indemnitees’ power.</w:t>
      </w:r>
    </w:p>
    <w:p>
      <w:pPr>
        <w:spacing w:after="0" w:line="197" w:lineRule="exact"/>
        <w:rPr>
          <w:rFonts w:ascii="Times New Roman" w:cs="Times New Roman" w:eastAsia="Times New Roman" w:hAnsi="Times New Roman"/>
          <w:sz w:val="20"/>
          <w:szCs w:val="20"/>
          <w:color w:val="auto"/>
        </w:rPr>
      </w:pPr>
    </w:p>
    <w:p>
      <w:pPr>
        <w:jc w:val="both"/>
        <w:ind w:firstLine="457"/>
        <w:spacing w:after="0" w:line="242" w:lineRule="auto"/>
        <w:tabs>
          <w:tab w:leader="none" w:pos="71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Presumptions; Burden of Proof.</w:t>
      </w:r>
      <w:r>
        <w:rPr>
          <w:rFonts w:ascii="Times New Roman" w:cs="Times New Roman" w:eastAsia="Times New Roman" w:hAnsi="Times New Roman"/>
          <w:sz w:val="20"/>
          <w:szCs w:val="20"/>
          <w:color w:val="auto"/>
        </w:rPr>
        <w:t xml:space="preserve">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 In connection with any determination by the Reviewing Party or otherwise as to whether Indemnitee is entitled to be indemnified hereunder, the burden of proof shall be on the Company to establish that Indemnitee is not so entitled.</w:t>
      </w:r>
    </w:p>
    <w:p>
      <w:pPr>
        <w:spacing w:after="0" w:line="205" w:lineRule="exact"/>
        <w:rPr>
          <w:rFonts w:ascii="Times New Roman" w:cs="Times New Roman" w:eastAsia="Times New Roman" w:hAnsi="Times New Roman"/>
          <w:sz w:val="20"/>
          <w:szCs w:val="20"/>
          <w:color w:val="auto"/>
        </w:rPr>
      </w:pPr>
    </w:p>
    <w:p>
      <w:pPr>
        <w:jc w:val="both"/>
        <w:ind w:firstLine="457"/>
        <w:spacing w:after="0" w:line="246" w:lineRule="auto"/>
        <w:tabs>
          <w:tab w:leader="none" w:pos="756"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to Insurers.</w:t>
      </w:r>
      <w:r>
        <w:rPr>
          <w:rFonts w:ascii="Times New Roman" w:cs="Times New Roman" w:eastAsia="Times New Roman" w:hAnsi="Times New Roman"/>
          <w:sz w:val="20"/>
          <w:szCs w:val="20"/>
          <w:color w:val="auto"/>
        </w:rPr>
        <w:t xml:space="preserve"> If, at the time of the receipt by the Company of a notice of a Claim pursuant to Section 2(b) hereof, the Company has liability insurance in effect which may cover such Claim, the Company shall give prompt notice of the commencement of such Claim to the insurers in accordance with the procedures set forth in the respective policies. The Company shall thereafter take all necessary or desirable action to cause such insurers to pay, on behalf of Indemnitee, all amounts payable as a result of such action, suit, proceeding, inquiry or investigation in accordance with the terms of such policies.</w:t>
      </w:r>
    </w:p>
    <w:p>
      <w:pPr>
        <w:spacing w:after="0" w:line="198" w:lineRule="exact"/>
        <w:rPr>
          <w:rFonts w:ascii="Times New Roman" w:cs="Times New Roman" w:eastAsia="Times New Roman" w:hAnsi="Times New Roman"/>
          <w:sz w:val="20"/>
          <w:szCs w:val="20"/>
          <w:color w:val="auto"/>
        </w:rPr>
      </w:pPr>
    </w:p>
    <w:p>
      <w:pPr>
        <w:jc w:val="both"/>
        <w:ind w:firstLine="457"/>
        <w:spacing w:after="0" w:line="243" w:lineRule="auto"/>
        <w:tabs>
          <w:tab w:leader="none" w:pos="71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Counsel.</w:t>
      </w:r>
      <w:r>
        <w:rPr>
          <w:rFonts w:ascii="Times New Roman" w:cs="Times New Roman" w:eastAsia="Times New Roman" w:hAnsi="Times New Roman"/>
          <w:sz w:val="20"/>
          <w:szCs w:val="20"/>
          <w:color w:val="auto"/>
        </w:rPr>
        <w:t xml:space="preserve"> In the event the Company shall be obligated hereunder to pay the Expenses of any Claim, the Company shall be entitled to assume the defense of such Claim with counsel approved by Indemnitee, which approval shall not be unreasonably withheld,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Claim; provided that, (i) Indemnitee shall have the right to employ Indemnitees’ counsel in any such Claim at Indemnitee expense and (ii) if (A) the employment of counsel by Indemnitee has been previously authorized by the Company, (B) Indemnitee shall have reasonably concluded that there is a conflict of interest between the Company and Indemnitee in the conduct of any such defense, or (C) the Company shall not continue to retain such counsel to defend such Claim, then the fees and expenses of Indemnitee counsel shall be at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spacing w:after="0" w:line="269" w:lineRule="auto"/>
        <w:rPr>
          <w:sz w:val="20"/>
          <w:szCs w:val="20"/>
          <w:color w:val="auto"/>
        </w:rPr>
      </w:pPr>
      <w:r>
        <w:rPr>
          <w:rFonts w:ascii="Times New Roman" w:cs="Times New Roman" w:eastAsia="Times New Roman" w:hAnsi="Times New Roman"/>
          <w:sz w:val="20"/>
          <w:szCs w:val="20"/>
          <w:color w:val="auto"/>
        </w:rPr>
        <w:t>expense of the Company. The Company shall have the right to conduct such defense as it sees fit in its sole discretion, including the right to settle any claim against Indemnitee without the consent of the Indemnitee.</w:t>
      </w:r>
    </w:p>
    <w:p>
      <w:pPr>
        <w:spacing w:after="0" w:line="173" w:lineRule="exact"/>
        <w:rPr>
          <w:sz w:val="20"/>
          <w:szCs w:val="20"/>
          <w:color w:val="auto"/>
        </w:rPr>
      </w:pPr>
    </w:p>
    <w:p>
      <w:pPr>
        <w:ind w:left="500" w:hanging="192"/>
        <w:spacing w:after="0"/>
        <w:tabs>
          <w:tab w:leader="none" w:pos="5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Indemnification Rights; Nonexclusivity.</w:t>
      </w:r>
    </w:p>
    <w:p>
      <w:pPr>
        <w:spacing w:after="0" w:line="229" w:lineRule="exact"/>
        <w:rPr>
          <w:rFonts w:ascii="Times New Roman" w:cs="Times New Roman" w:eastAsia="Times New Roman" w:hAnsi="Times New Roman"/>
          <w:sz w:val="20"/>
          <w:szCs w:val="20"/>
          <w:color w:val="auto"/>
        </w:rPr>
      </w:pPr>
    </w:p>
    <w:p>
      <w:pPr>
        <w:jc w:val="both"/>
        <w:ind w:firstLine="457"/>
        <w:spacing w:after="0" w:line="243" w:lineRule="auto"/>
        <w:tabs>
          <w:tab w:leader="none" w:pos="74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Scope.</w:t>
      </w:r>
      <w:r>
        <w:rPr>
          <w:rFonts w:ascii="Times New Roman" w:cs="Times New Roman" w:eastAsia="Times New Roman" w:hAnsi="Times New Roman"/>
          <w:sz w:val="20"/>
          <w:szCs w:val="20"/>
          <w:color w:val="auto"/>
        </w:rPr>
        <w:t xml:space="preserve"> The Company hereby agrees to indemnify Indemnitee to 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8(a) hereof.</w:t>
      </w:r>
    </w:p>
    <w:p>
      <w:pPr>
        <w:spacing w:after="0" w:line="199" w:lineRule="exact"/>
        <w:rPr>
          <w:rFonts w:ascii="Times New Roman" w:cs="Times New Roman" w:eastAsia="Times New Roman" w:hAnsi="Times New Roman"/>
          <w:sz w:val="20"/>
          <w:szCs w:val="20"/>
          <w:color w:val="auto"/>
        </w:rPr>
      </w:pPr>
    </w:p>
    <w:p>
      <w:pPr>
        <w:jc w:val="both"/>
        <w:ind w:firstLine="457"/>
        <w:spacing w:after="0" w:line="246" w:lineRule="auto"/>
        <w:tabs>
          <w:tab w:leader="none" w:pos="74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w:t>
      </w:r>
      <w:r>
        <w:rPr>
          <w:rFonts w:ascii="Times New Roman" w:cs="Times New Roman" w:eastAsia="Times New Roman" w:hAnsi="Times New Roman"/>
          <w:sz w:val="20"/>
          <w:szCs w:val="20"/>
          <w:color w:val="auto"/>
        </w:rPr>
        <w:t>. The indemnification provided by this Agreement shall be in addition to any rights to which Indemnitee may be entitled under the Company’s Certificate of Incorporation, its Bylaws, any agreement, any vote of stockholders or disinterested directors, the General Corporation Law of the State of Delaware, or otherwise. The indemnification provided under this Agreement shall continue as to Indemnitee for any action Indemnitee took or did not take while serving in an indemnified capacity even though Indemnitee may have ceased to serve in such capacity.</w:t>
      </w:r>
    </w:p>
    <w:p>
      <w:pPr>
        <w:spacing w:after="0" w:line="198" w:lineRule="exact"/>
        <w:rPr>
          <w:rFonts w:ascii="Times New Roman" w:cs="Times New Roman" w:eastAsia="Times New Roman" w:hAnsi="Times New Roman"/>
          <w:sz w:val="20"/>
          <w:szCs w:val="20"/>
          <w:color w:val="auto"/>
        </w:rPr>
      </w:pPr>
    </w:p>
    <w:p>
      <w:pPr>
        <w:jc w:val="both"/>
        <w:ind w:firstLine="308"/>
        <w:spacing w:after="0" w:line="254" w:lineRule="auto"/>
        <w:tabs>
          <w:tab w:leader="none" w:pos="51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Duplication of Payments.</w:t>
      </w:r>
      <w:r>
        <w:rPr>
          <w:rFonts w:ascii="Times New Roman" w:cs="Times New Roman" w:eastAsia="Times New Roman" w:hAnsi="Times New Roman"/>
          <w:sz w:val="20"/>
          <w:szCs w:val="20"/>
          <w:color w:val="auto"/>
        </w:rPr>
        <w:t xml:space="preserve"> The Company shall not be liable under this Agreement to make any payment in connection with any Claim made against Indemnitee to the extent Indemnitee has otherwise actually received payment (under any insurance policy, Certificate of Incorporation, Bylaw or otherwise) of the amounts otherwise indemnifiable hereunder.</w:t>
      </w:r>
    </w:p>
    <w:p>
      <w:pPr>
        <w:spacing w:after="0" w:line="187" w:lineRule="exact"/>
        <w:rPr>
          <w:rFonts w:ascii="Times New Roman" w:cs="Times New Roman" w:eastAsia="Times New Roman" w:hAnsi="Times New Roman"/>
          <w:sz w:val="20"/>
          <w:szCs w:val="20"/>
          <w:color w:val="auto"/>
        </w:rPr>
      </w:pPr>
    </w:p>
    <w:p>
      <w:pPr>
        <w:jc w:val="both"/>
        <w:ind w:firstLine="308"/>
        <w:spacing w:after="0" w:line="254" w:lineRule="auto"/>
        <w:tabs>
          <w:tab w:leader="none" w:pos="49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Partial Indemnification</w:t>
      </w:r>
      <w:r>
        <w:rPr>
          <w:rFonts w:ascii="Times New Roman" w:cs="Times New Roman" w:eastAsia="Times New Roman" w:hAnsi="Times New Roman"/>
          <w:sz w:val="20"/>
          <w:szCs w:val="20"/>
          <w:color w:val="auto"/>
        </w:rPr>
        <w:t>. If Indemnitee is entitled under any provision of this Agreement to indemnification by the Company for some or a portion of Expenses incurred in connection with any Claim, but not, however, for all of the total amount thereof, the Company shall nevertheless indemnify Indemnitee for the portion of such Expenses to which Indemnitee are entitled.</w:t>
      </w:r>
    </w:p>
    <w:p>
      <w:pPr>
        <w:spacing w:after="0" w:line="187" w:lineRule="exact"/>
        <w:rPr>
          <w:rFonts w:ascii="Times New Roman" w:cs="Times New Roman" w:eastAsia="Times New Roman" w:hAnsi="Times New Roman"/>
          <w:sz w:val="20"/>
          <w:szCs w:val="20"/>
          <w:color w:val="auto"/>
        </w:rPr>
      </w:pPr>
    </w:p>
    <w:p>
      <w:pPr>
        <w:jc w:val="both"/>
        <w:ind w:firstLine="308"/>
        <w:spacing w:after="0" w:line="246" w:lineRule="auto"/>
        <w:tabs>
          <w:tab w:leader="none" w:pos="52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Mutual Acknowledgement</w:t>
      </w:r>
      <w:r>
        <w:rPr>
          <w:rFonts w:ascii="Times New Roman" w:cs="Times New Roman" w:eastAsia="Times New Roman" w:hAnsi="Times New Roman"/>
          <w:sz w:val="20"/>
          <w:szCs w:val="20"/>
          <w:color w:val="auto"/>
        </w:rPr>
        <w:t>. Both the Company and Indemnitee acknowledge that in certain instances, Federal law or applicable public policy may prohibit the Company from indemnifying its directors, officers, employees, agents or fiduciaries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98" w:lineRule="exact"/>
        <w:rPr>
          <w:rFonts w:ascii="Times New Roman" w:cs="Times New Roman" w:eastAsia="Times New Roman" w:hAnsi="Times New Roman"/>
          <w:sz w:val="20"/>
          <w:szCs w:val="20"/>
          <w:color w:val="auto"/>
        </w:rPr>
      </w:pPr>
    </w:p>
    <w:p>
      <w:pPr>
        <w:jc w:val="both"/>
        <w:ind w:firstLine="308"/>
        <w:spacing w:after="0" w:line="246" w:lineRule="auto"/>
        <w:tabs>
          <w:tab w:leader="none" w:pos="51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Insurance.</w:t>
      </w:r>
      <w:r>
        <w:rPr>
          <w:rFonts w:ascii="Times New Roman" w:cs="Times New Roman" w:eastAsia="Times New Roman" w:hAnsi="Times New Roman"/>
          <w:sz w:val="20"/>
          <w:szCs w:val="20"/>
          <w:color w:val="auto"/>
        </w:rPr>
        <w:t xml:space="preserve"> To the extent the Company maintains liability insurance applicable to directors, officers, employees, agents or fiduciaries, Indemnitee shall be covered by such policies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agents or fiduciaries, if Indemnitee is not an officer or director but is a key employee, agent or fiduciary.</w:t>
      </w:r>
    </w:p>
    <w:p>
      <w:pPr>
        <w:spacing w:after="0" w:line="198" w:lineRule="exact"/>
        <w:rPr>
          <w:rFonts w:ascii="Times New Roman" w:cs="Times New Roman" w:eastAsia="Times New Roman" w:hAnsi="Times New Roman"/>
          <w:sz w:val="20"/>
          <w:szCs w:val="20"/>
          <w:color w:val="auto"/>
        </w:rPr>
      </w:pPr>
    </w:p>
    <w:p>
      <w:pPr>
        <w:ind w:firstLine="308"/>
        <w:spacing w:after="0" w:line="269" w:lineRule="auto"/>
        <w:tabs>
          <w:tab w:leader="none" w:pos="49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w:t>
      </w:r>
      <w:r>
        <w:rPr>
          <w:rFonts w:ascii="Times New Roman" w:cs="Times New Roman" w:eastAsia="Times New Roman" w:hAnsi="Times New Roman"/>
          <w:sz w:val="20"/>
          <w:szCs w:val="20"/>
          <w:color w:val="auto"/>
        </w:rPr>
        <w:t xml:space="preserve"> Any other provision herein to the contrary notwithstanding, the Company shall not be obligated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spacing w:after="0" w:line="203" w:lineRule="exact"/>
        <w:rPr>
          <w:sz w:val="20"/>
          <w:szCs w:val="20"/>
          <w:color w:val="auto"/>
        </w:rPr>
      </w:pPr>
    </w:p>
    <w:p>
      <w:pPr>
        <w:ind w:firstLine="457"/>
        <w:spacing w:after="0" w:line="269" w:lineRule="auto"/>
        <w:tabs>
          <w:tab w:leader="none" w:pos="71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Excluded Action or Omissions</w:t>
      </w:r>
      <w:r>
        <w:rPr>
          <w:rFonts w:ascii="Times New Roman" w:cs="Times New Roman" w:eastAsia="Times New Roman" w:hAnsi="Times New Roman"/>
          <w:sz w:val="20"/>
          <w:szCs w:val="20"/>
          <w:color w:val="auto"/>
        </w:rPr>
        <w:t>. To indemnify Indemnitee for Indemnitee’s acts, omissions or transactions from which Indemnitee or the Indemnitee may not be relieved of liability under applicable law;</w:t>
      </w:r>
    </w:p>
    <w:p>
      <w:pPr>
        <w:spacing w:after="0" w:line="172" w:lineRule="exact"/>
        <w:rPr>
          <w:rFonts w:ascii="Times New Roman" w:cs="Times New Roman" w:eastAsia="Times New Roman" w:hAnsi="Times New Roman"/>
          <w:sz w:val="20"/>
          <w:szCs w:val="20"/>
          <w:color w:val="auto"/>
        </w:rPr>
      </w:pPr>
    </w:p>
    <w:p>
      <w:pPr>
        <w:jc w:val="both"/>
        <w:ind w:firstLine="457"/>
        <w:spacing w:after="0" w:line="244" w:lineRule="auto"/>
        <w:tabs>
          <w:tab w:leader="none" w:pos="75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Initiated by Indemnitee</w:t>
      </w:r>
      <w:r>
        <w:rPr>
          <w:rFonts w:ascii="Times New Roman" w:cs="Times New Roman" w:eastAsia="Times New Roman" w:hAnsi="Times New Roman"/>
          <w:sz w:val="20"/>
          <w:szCs w:val="20"/>
          <w:color w:val="auto"/>
        </w:rPr>
        <w:t>. To indemnify or advance expenses to Indemnitee with respect to Claims initiated or brought voluntarily by Indemnitee and not by way of defense, except (i) with respect to actions or proceedings brought to establish or enforce a right to indemnification under this Agreement or any other agreement or insurance policy or under the Company’s Certificate of Incorporation or Bylaws now or hereafter in effect relating to Claims for Indemnifiable Events, (ii) in specific cases if the Board of Directors has approved the initiation or bringing of such Claim, or (iii) as otherwise required under Section 145 of the Delaware General Corporation Law, regardless of whether Indemnitee ultimately is determined to be entitled to such indemnification, advance expense payment or insurance recovery, as the case may be;</w:t>
      </w:r>
    </w:p>
    <w:p>
      <w:pPr>
        <w:spacing w:after="0" w:line="199" w:lineRule="exact"/>
        <w:rPr>
          <w:rFonts w:ascii="Times New Roman" w:cs="Times New Roman" w:eastAsia="Times New Roman" w:hAnsi="Times New Roman"/>
          <w:sz w:val="20"/>
          <w:szCs w:val="20"/>
          <w:color w:val="auto"/>
        </w:rPr>
      </w:pPr>
    </w:p>
    <w:p>
      <w:pPr>
        <w:jc w:val="both"/>
        <w:ind w:right="20" w:firstLine="457"/>
        <w:spacing w:after="0" w:line="254" w:lineRule="auto"/>
        <w:tabs>
          <w:tab w:leader="none" w:pos="71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Lack of Good Faith</w:t>
      </w:r>
      <w:r>
        <w:rPr>
          <w:rFonts w:ascii="Times New Roman" w:cs="Times New Roman" w:eastAsia="Times New Roman" w:hAnsi="Times New Roman"/>
          <w:sz w:val="20"/>
          <w:szCs w:val="20"/>
          <w:color w:val="auto"/>
        </w:rPr>
        <w:t>. To indemnify Indemnitee for any expenses incurred by Indemnitee with respect to any proceeding instituted by Indemnitee to enforce or interpret this Agreement, if a court of competent jurisdiction determines that each of the material assertions made by Indemnitee in such proceeding was not made in good faith or was frivolous; or</w:t>
      </w:r>
    </w:p>
    <w:p>
      <w:pPr>
        <w:spacing w:after="0" w:line="187" w:lineRule="exact"/>
        <w:rPr>
          <w:rFonts w:ascii="Times New Roman" w:cs="Times New Roman" w:eastAsia="Times New Roman" w:hAnsi="Times New Roman"/>
          <w:sz w:val="20"/>
          <w:szCs w:val="20"/>
          <w:color w:val="auto"/>
        </w:rPr>
      </w:pPr>
    </w:p>
    <w:p>
      <w:pPr>
        <w:jc w:val="both"/>
        <w:ind w:firstLine="457"/>
        <w:spacing w:after="0" w:line="254" w:lineRule="auto"/>
        <w:tabs>
          <w:tab w:leader="none" w:pos="72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Under Section 16(b).</w:t>
      </w:r>
      <w:r>
        <w:rPr>
          <w:rFonts w:ascii="Times New Roman" w:cs="Times New Roman" w:eastAsia="Times New Roman" w:hAnsi="Times New Roman"/>
          <w:sz w:val="20"/>
          <w:szCs w:val="20"/>
          <w:color w:val="auto"/>
        </w:rPr>
        <w:t xml:space="preserve"> To indemnify Indemnitee for expenses and the payment of profits arising from the purchase and sale by Indemnitee of securities in violation of Section 16(b) of the Securities Exchange Act of 1934, as amended, or any similar successor statute.</w:t>
      </w:r>
    </w:p>
    <w:p>
      <w:pPr>
        <w:spacing w:after="0" w:line="187" w:lineRule="exact"/>
        <w:rPr>
          <w:rFonts w:ascii="Times New Roman" w:cs="Times New Roman" w:eastAsia="Times New Roman" w:hAnsi="Times New Roman"/>
          <w:sz w:val="20"/>
          <w:szCs w:val="20"/>
          <w:color w:val="auto"/>
        </w:rPr>
      </w:pPr>
    </w:p>
    <w:p>
      <w:pPr>
        <w:jc w:val="both"/>
        <w:ind w:firstLine="308"/>
        <w:spacing w:after="0" w:line="246" w:lineRule="auto"/>
        <w:tabs>
          <w:tab w:leader="none" w:pos="51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Period of Limitations</w:t>
      </w:r>
      <w:r>
        <w:rPr>
          <w:rFonts w:ascii="Times New Roman" w:cs="Times New Roman" w:eastAsia="Times New Roman" w:hAnsi="Times New Roman"/>
          <w:sz w:val="20"/>
          <w:szCs w:val="20"/>
          <w:color w:val="auto"/>
        </w:rPr>
        <w:t xml:space="preserve">. No legal action shall be brought and no cause of action shall be asserted by or in the right of the Company against Indemnitee, Indemnitee’s estate,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shorter period of limitations is otherwise applicable to any such cause of action, such shorter period shall govern.</w:t>
      </w:r>
    </w:p>
    <w:p>
      <w:pPr>
        <w:spacing w:after="0" w:line="198" w:lineRule="exact"/>
        <w:rPr>
          <w:rFonts w:ascii="Times New Roman" w:cs="Times New Roman" w:eastAsia="Times New Roman" w:hAnsi="Times New Roman"/>
          <w:sz w:val="20"/>
          <w:szCs w:val="20"/>
          <w:color w:val="auto"/>
        </w:rPr>
      </w:pPr>
    </w:p>
    <w:p>
      <w:pPr>
        <w:ind w:left="600" w:hanging="292"/>
        <w:spacing w:after="0"/>
        <w:tabs>
          <w:tab w:leader="none" w:pos="6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of Certain Phrases.</w:t>
      </w:r>
    </w:p>
    <w:p>
      <w:pPr>
        <w:spacing w:after="0" w:line="229" w:lineRule="exact"/>
        <w:rPr>
          <w:rFonts w:ascii="Times New Roman" w:cs="Times New Roman" w:eastAsia="Times New Roman" w:hAnsi="Times New Roman"/>
          <w:sz w:val="20"/>
          <w:szCs w:val="20"/>
          <w:color w:val="auto"/>
        </w:rPr>
      </w:pPr>
    </w:p>
    <w:p>
      <w:pPr>
        <w:jc w:val="both"/>
        <w:ind w:firstLine="457"/>
        <w:spacing w:after="0" w:line="259" w:lineRule="auto"/>
        <w:tabs>
          <w:tab w:leader="none" w:pos="723"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5" w:lineRule="exact"/>
        <w:rPr>
          <w:rFonts w:ascii="Times New Roman" w:cs="Times New Roman" w:eastAsia="Times New Roman" w:hAnsi="Times New Roman"/>
          <w:sz w:val="19"/>
          <w:szCs w:val="19"/>
          <w:color w:val="auto"/>
        </w:rPr>
      </w:pPr>
    </w:p>
    <w:p>
      <w:pPr>
        <w:jc w:val="both"/>
        <w:ind w:firstLine="457"/>
        <w:spacing w:after="0" w:line="244" w:lineRule="auto"/>
        <w:tabs>
          <w:tab w:leader="none" w:pos="74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references to “other enterprises” shall include employee benefit plans; references to "fines" shall include any excise taxes assessed on Indemnitee with respect to an employee benefit plan; and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03" w:lineRule="exact"/>
        <w:rPr>
          <w:sz w:val="20"/>
          <w:szCs w:val="20"/>
          <w:color w:val="auto"/>
        </w:rPr>
      </w:pPr>
    </w:p>
    <w:p>
      <w:pPr>
        <w:jc w:val="both"/>
        <w:ind w:firstLine="457"/>
        <w:spacing w:after="0" w:line="241" w:lineRule="auto"/>
        <w:tabs>
          <w:tab w:leader="none" w:pos="72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 “Change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(A) who is or becomes the beneficial owner, directly or indirectly, of securities of the Company representing 10% or more of the combined voting power of the Company's then outstanding Voting Securities, increases his beneficial ownership of such securities by 5% or more over the percentage so owned by such person, or (B) becomes the “beneficial owner” (as defined in Rule l3d-3 under said Act), directly or indirectly, of securities of the Company representing more than 20% of the total voting power represented by the Company's then outstanding Voting Securities, (ii) 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203" w:lineRule="exact"/>
        <w:rPr>
          <w:rFonts w:ascii="Times New Roman" w:cs="Times New Roman" w:eastAsia="Times New Roman" w:hAnsi="Times New Roman"/>
          <w:sz w:val="20"/>
          <w:szCs w:val="20"/>
          <w:color w:val="auto"/>
        </w:rPr>
      </w:pPr>
    </w:p>
    <w:p>
      <w:pPr>
        <w:jc w:val="both"/>
        <w:ind w:firstLine="457"/>
        <w:spacing w:after="0" w:line="249" w:lineRule="auto"/>
        <w:tabs>
          <w:tab w:leader="none" w:pos="74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“Independent Legal Counsel” shall mean an attorney or firm of attorneys, selected in accordance with the provisions of Section 1(c) hereof, who shall not have otherwise performed services for the Company or Indemnitee within the last three years (other than with respect to matters concerning the rights of Indemnitee under this Agreement, or of other indemnitees under similar indemnity agreements).</w:t>
      </w:r>
    </w:p>
    <w:p>
      <w:pPr>
        <w:spacing w:after="0" w:line="193" w:lineRule="exact"/>
        <w:rPr>
          <w:rFonts w:ascii="Times New Roman" w:cs="Times New Roman" w:eastAsia="Times New Roman" w:hAnsi="Times New Roman"/>
          <w:sz w:val="20"/>
          <w:szCs w:val="20"/>
          <w:color w:val="auto"/>
        </w:rPr>
      </w:pPr>
    </w:p>
    <w:p>
      <w:pPr>
        <w:jc w:val="both"/>
        <w:ind w:firstLine="457"/>
        <w:spacing w:after="0" w:line="254" w:lineRule="auto"/>
        <w:tabs>
          <w:tab w:leader="none" w:pos="75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 “Reviewing Party” shall mean any appropriate person or body consisting of a member or members of the Company's Board of Directors or any other person or body appointed by the Board of Directors who is not a party to the particular Claim for which Indemnitee are seeking indemnification, or Independent Legal Counsel.</w:t>
      </w:r>
    </w:p>
    <w:p>
      <w:pPr>
        <w:spacing w:after="0" w:line="187" w:lineRule="exact"/>
        <w:rPr>
          <w:rFonts w:ascii="Times New Roman" w:cs="Times New Roman" w:eastAsia="Times New Roman" w:hAnsi="Times New Roman"/>
          <w:sz w:val="20"/>
          <w:szCs w:val="20"/>
          <w:color w:val="auto"/>
        </w:rPr>
      </w:pPr>
    </w:p>
    <w:p>
      <w:pPr>
        <w:ind w:left="760" w:hanging="303"/>
        <w:spacing w:after="0"/>
        <w:tabs>
          <w:tab w:leader="none" w:pos="76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“Voting Securities” shall mean any securities of the Company that vote generally in the election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directors.</w:t>
      </w:r>
    </w:p>
    <w:p>
      <w:pPr>
        <w:spacing w:after="0" w:line="207" w:lineRule="exact"/>
        <w:rPr>
          <w:rFonts w:ascii="Times New Roman" w:cs="Times New Roman" w:eastAsia="Times New Roman" w:hAnsi="Times New Roman"/>
          <w:sz w:val="19"/>
          <w:szCs w:val="19"/>
          <w:color w:val="auto"/>
        </w:rPr>
      </w:pPr>
    </w:p>
    <w:p>
      <w:pPr>
        <w:ind w:left="600" w:hanging="292"/>
        <w:spacing w:after="0"/>
        <w:tabs>
          <w:tab w:leader="none" w:pos="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one or more counterparts, each of which shall constitute an original.</w:t>
      </w:r>
    </w:p>
    <w:p>
      <w:pPr>
        <w:spacing w:after="0" w:line="229" w:lineRule="exact"/>
        <w:rPr>
          <w:rFonts w:ascii="Times New Roman" w:cs="Times New Roman" w:eastAsia="Times New Roman" w:hAnsi="Times New Roman"/>
          <w:sz w:val="20"/>
          <w:szCs w:val="20"/>
          <w:color w:val="auto"/>
        </w:rPr>
      </w:pPr>
    </w:p>
    <w:p>
      <w:pPr>
        <w:jc w:val="both"/>
        <w:ind w:firstLine="308"/>
        <w:spacing w:after="0" w:line="244" w:lineRule="auto"/>
        <w:tabs>
          <w:tab w:leader="none" w:pos="59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 and Assigns</w:t>
      </w:r>
      <w:r>
        <w:rPr>
          <w:rFonts w:ascii="Times New Roman" w:cs="Times New Roman" w:eastAsia="Times New Roman" w:hAnsi="Times New Roman"/>
          <w:sz w:val="20"/>
          <w:szCs w:val="20"/>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with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69" w:lineRule="auto"/>
        <w:rPr>
          <w:sz w:val="20"/>
          <w:szCs w:val="20"/>
          <w:color w:val="auto"/>
        </w:rPr>
      </w:pPr>
      <w:r>
        <w:rPr>
          <w:rFonts w:ascii="Times New Roman" w:cs="Times New Roman" w:eastAsia="Times New Roman" w:hAnsi="Times New Roman"/>
          <w:sz w:val="20"/>
          <w:szCs w:val="20"/>
          <w:color w:val="auto"/>
        </w:rPr>
        <w:t>respect to Claims relating to Indemnifiable Events regardless of whether Indemnitee continues to serve as a director, officer, employee, agent or fiduciary of the Company or of any other enterprise at the Company’s request.</w:t>
      </w:r>
    </w:p>
    <w:p>
      <w:pPr>
        <w:spacing w:after="0" w:line="173" w:lineRule="exact"/>
        <w:rPr>
          <w:sz w:val="20"/>
          <w:szCs w:val="20"/>
          <w:color w:val="auto"/>
        </w:rPr>
      </w:pPr>
    </w:p>
    <w:p>
      <w:pPr>
        <w:jc w:val="both"/>
        <w:ind w:firstLine="308"/>
        <w:spacing w:after="0" w:line="242" w:lineRule="auto"/>
        <w:tabs>
          <w:tab w:leader="none" w:pos="61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the event that any action is instituted by Indemnitee under this Agreement or under any liability insurance policies maintained by the Company to enforce or interpret any of the terms hereof or thereof, Indemnitee shall be entitled to be paid all Expenses incurred by Indemnitee with respect to such action, regardless of whether Indemnitee is ultimately successful in such action, and shall be entitled to the advancement of Expenses with respect to such action, unless, as a part of such action, a court of competent jurisdiction over such action determines that each of the material assertions made by Indemnitee as a basis for such action was not made in good faith or was frivolous. In the event of an action instituted by or in the name of the Company under this Agreement to enforce or interpret any of the terms of this Agreement, Indemnitee shall be entitled to be paid all Expenses incurred by Indemnitee in defense of such action (including costs and expenses incurred with respect to Indemnitee counterclaims and cross-claims made in such action), and shall be entitled to the advancement of Expenses with respect to such action, unless, as a part of such action, a court having jurisdiction over such action determines that each of Indemnitee material defenses to such action was made in bad faith or was frivolous.</w:t>
      </w:r>
    </w:p>
    <w:p>
      <w:pPr>
        <w:spacing w:after="0" w:line="201" w:lineRule="exact"/>
        <w:rPr>
          <w:rFonts w:ascii="Times New Roman" w:cs="Times New Roman" w:eastAsia="Times New Roman" w:hAnsi="Times New Roman"/>
          <w:sz w:val="20"/>
          <w:szCs w:val="20"/>
          <w:color w:val="auto"/>
        </w:rPr>
      </w:pPr>
    </w:p>
    <w:p>
      <w:pPr>
        <w:jc w:val="both"/>
        <w:ind w:firstLine="308"/>
        <w:spacing w:after="0" w:line="244" w:lineRule="auto"/>
        <w:tabs>
          <w:tab w:leader="none" w:pos="5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xml:space="preserve"> All notices and other communications required or permitted hereunder shall be in writing, shall be effective when given, and shall in any event be deemed to be given (a) five (5) days after deposit with the U.S. Postal Service or other applicable postal service, if delivered by first class mail, postage prepaid, (b) upon delivery, if delivered by hand, (c) one business day after the business day of deposit with Federal Express or similar overnight courier, freight prepaid, or (d) one day after the business day of delivery by facsimile transmission, if delivered by facsimile transmission, with copy by first class mail, postage prepaid, and shall be addressed if to Indemnitee, at the Indemnitee address as set forth beneath Indemnitee signatures to this Agreement and if to the Company at the address of its principal corporate offices (attention: Secretary) or at such other address as such party may designate by ten days' advance written notice to the other party hereto.</w:t>
      </w:r>
    </w:p>
    <w:p>
      <w:pPr>
        <w:spacing w:after="0" w:line="199" w:lineRule="exact"/>
        <w:rPr>
          <w:rFonts w:ascii="Times New Roman" w:cs="Times New Roman" w:eastAsia="Times New Roman" w:hAnsi="Times New Roman"/>
          <w:sz w:val="20"/>
          <w:szCs w:val="20"/>
          <w:color w:val="auto"/>
        </w:rPr>
      </w:pPr>
    </w:p>
    <w:p>
      <w:pPr>
        <w:jc w:val="both"/>
        <w:ind w:firstLine="308"/>
        <w:spacing w:after="0" w:line="249" w:lineRule="auto"/>
        <w:tabs>
          <w:tab w:leader="none" w:pos="5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The Company and Indemnitee each hereby irrevocably consent to the jurisdiction of the courts of the State of 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93" w:lineRule="exact"/>
        <w:rPr>
          <w:rFonts w:ascii="Times New Roman" w:cs="Times New Roman" w:eastAsia="Times New Roman" w:hAnsi="Times New Roman"/>
          <w:sz w:val="20"/>
          <w:szCs w:val="20"/>
          <w:color w:val="auto"/>
        </w:rPr>
      </w:pPr>
    </w:p>
    <w:p>
      <w:pPr>
        <w:jc w:val="both"/>
        <w:ind w:firstLine="308"/>
        <w:spacing w:after="0" w:line="245" w:lineRule="auto"/>
        <w:tabs>
          <w:tab w:leader="none" w:pos="62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limitations,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97" w:lineRule="exact"/>
        <w:rPr>
          <w:rFonts w:ascii="Times New Roman" w:cs="Times New Roman" w:eastAsia="Times New Roman" w:hAnsi="Times New Roman"/>
          <w:sz w:val="20"/>
          <w:szCs w:val="20"/>
          <w:color w:val="auto"/>
        </w:rPr>
      </w:pPr>
    </w:p>
    <w:p>
      <w:pPr>
        <w:jc w:val="both"/>
        <w:ind w:firstLine="308"/>
        <w:spacing w:after="0" w:line="254" w:lineRule="auto"/>
        <w:tabs>
          <w:tab w:leader="none" w:pos="5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This Agreement shall be governed by and its provisions construed and enforced in accordance with the laws of the State of Delaware, as applied to contracts between Delaware residents, entered into and to be performed entirely within the State of Delaware, without regard to the conflict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308"/>
        <w:spacing w:after="0" w:line="254" w:lineRule="auto"/>
        <w:tabs>
          <w:tab w:leader="none" w:pos="5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Subrogation</w:t>
      </w:r>
      <w:r>
        <w:rPr>
          <w:rFonts w:ascii="Times New Roman" w:cs="Times New Roman" w:eastAsia="Times New Roman" w:hAnsi="Times New Roman"/>
          <w:sz w:val="20"/>
          <w:szCs w:val="20"/>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7" w:lineRule="exact"/>
        <w:rPr>
          <w:rFonts w:ascii="Times New Roman" w:cs="Times New Roman" w:eastAsia="Times New Roman" w:hAnsi="Times New Roman"/>
          <w:sz w:val="20"/>
          <w:szCs w:val="20"/>
          <w:color w:val="auto"/>
        </w:rPr>
      </w:pPr>
    </w:p>
    <w:p>
      <w:pPr>
        <w:jc w:val="both"/>
        <w:ind w:firstLine="308"/>
        <w:spacing w:after="0" w:line="254" w:lineRule="auto"/>
        <w:tabs>
          <w:tab w:leader="none" w:pos="5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No amendment, modification, termination or cancellation of this Agreement shall be effective unless it is in writing signed by both the parties hereto. No waiver of any of the provisions of this Agreement shall be deemed or shall constitute a waiver of any other provisions hereof (whether or not similar) nor shall such waiver constitute a continuing waiver.</w:t>
      </w:r>
    </w:p>
    <w:p>
      <w:pPr>
        <w:spacing w:after="0" w:line="187" w:lineRule="exact"/>
        <w:rPr>
          <w:rFonts w:ascii="Times New Roman" w:cs="Times New Roman" w:eastAsia="Times New Roman" w:hAnsi="Times New Roman"/>
          <w:sz w:val="20"/>
          <w:szCs w:val="20"/>
          <w:color w:val="auto"/>
        </w:rPr>
      </w:pPr>
    </w:p>
    <w:p>
      <w:pPr>
        <w:jc w:val="both"/>
        <w:ind w:firstLine="308"/>
        <w:spacing w:after="0" w:line="254" w:lineRule="auto"/>
        <w:tabs>
          <w:tab w:leader="none" w:pos="5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 and Entire Agreement</w:t>
      </w:r>
      <w:r>
        <w:rPr>
          <w:rFonts w:ascii="Times New Roman" w:cs="Times New Roman" w:eastAsia="Times New Roman" w:hAnsi="Times New Roman"/>
          <w:sz w:val="20"/>
          <w:szCs w:val="20"/>
          <w:color w:val="auto"/>
        </w:rPr>
        <w:t>. This Agreement sets forth the entire understanding between the parties hereto and supersedes and merges all previous written and oral negotiations, commitments, understandings and agreements relating to the subject matter hereof between the parties hereto.</w:t>
      </w:r>
    </w:p>
    <w:p>
      <w:pPr>
        <w:spacing w:after="0" w:line="187" w:lineRule="exact"/>
        <w:rPr>
          <w:rFonts w:ascii="Times New Roman" w:cs="Times New Roman" w:eastAsia="Times New Roman" w:hAnsi="Times New Roman"/>
          <w:sz w:val="20"/>
          <w:szCs w:val="20"/>
          <w:color w:val="auto"/>
        </w:rPr>
      </w:pPr>
    </w:p>
    <w:p>
      <w:pPr>
        <w:ind w:right="20" w:firstLine="308"/>
        <w:spacing w:after="0" w:line="269" w:lineRule="auto"/>
        <w:tabs>
          <w:tab w:leader="none" w:pos="5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Construction as Employment Agreement</w:t>
      </w:r>
      <w:r>
        <w:rPr>
          <w:rFonts w:ascii="Times New Roman" w:cs="Times New Roman" w:eastAsia="Times New Roman" w:hAnsi="Times New Roman"/>
          <w:sz w:val="20"/>
          <w:szCs w:val="20"/>
          <w:color w:val="auto"/>
        </w:rPr>
        <w:t>. Nothing contained in this Agreement shall be construed as giving Indemnitee any right to be retained in the employ of the Company or any of its subsidiaries.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Harmonic Inc.</w:t>
      </w:r>
    </w:p>
    <w:p>
      <w:pPr>
        <w:spacing w:after="0" w:line="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By: _____________________</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Title:____________________</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 BY: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HARMONIC INC. AND SUBSIDIARIES</w:t>
            </w:r>
          </w:p>
        </w:tc>
      </w:tr>
      <w:tr>
        <w:trPr>
          <w:trHeight w:val="238"/>
        </w:trPr>
        <w:tc>
          <w:tcPr>
            <w:tcW w:w="368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59"/>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lists the direct and indirect subsidiaries of Harmonic Inc. as of December 31, 2025:</w:t>
            </w:r>
          </w:p>
        </w:tc>
      </w:tr>
      <w:tr>
        <w:trPr>
          <w:trHeight w:val="464"/>
        </w:trPr>
        <w:tc>
          <w:tcPr>
            <w:tcW w:w="3680" w:type="dxa"/>
            <w:vAlign w:val="bottom"/>
          </w:tcPr>
          <w:p>
            <w:pPr>
              <w:spacing w:after="0"/>
              <w:rPr>
                <w:sz w:val="24"/>
                <w:szCs w:val="24"/>
                <w:color w:val="auto"/>
              </w:rPr>
            </w:pP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r>
      <w:tr>
        <w:trPr>
          <w:trHeight w:val="238"/>
        </w:trPr>
        <w:tc>
          <w:tcPr>
            <w:tcW w:w="36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r>
      <w:tr>
        <w:trPr>
          <w:trHeight w:val="27"/>
        </w:trPr>
        <w:tc>
          <w:tcPr>
            <w:tcW w:w="3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Delaware, L.L.C.</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U.S.A.</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Germany GmbH</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Japan GK</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India Private Limited</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International GmbH</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International Inc</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U.S.A.</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Lightwaves (Israel) Ltd</w:t>
            </w:r>
          </w:p>
        </w:tc>
        <w:tc>
          <w:tcPr>
            <w:tcW w:w="7560" w:type="dxa"/>
            <w:vAlign w:val="bottom"/>
            <w:tcBorders>
              <w:bottom w:val="single" w:sz="8" w:color="CCEEFF"/>
            </w:tcBorders>
            <w:shd w:val="clear" w:color="auto" w:fill="CCEEFF"/>
          </w:tcPr>
          <w:p>
            <w:pPr>
              <w:jc w:val="center"/>
              <w:ind w:left="187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Singapore P.T.E. Ltd.</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Spain SL</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Spain</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Technologies (HK) Limited</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(UK) Limited</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Video Networks Ltd.</w:t>
            </w:r>
          </w:p>
        </w:tc>
        <w:tc>
          <w:tcPr>
            <w:tcW w:w="75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Horizon Acquisition Ltd</w:t>
            </w:r>
          </w:p>
        </w:tc>
        <w:tc>
          <w:tcPr>
            <w:tcW w:w="7560" w:type="dxa"/>
            <w:vAlign w:val="bottom"/>
            <w:tcBorders>
              <w:bottom w:val="single" w:sz="8" w:color="CCEEFF"/>
            </w:tcBorders>
            <w:shd w:val="clear" w:color="auto" w:fill="CCEEFF"/>
          </w:tcPr>
          <w:p>
            <w:pPr>
              <w:jc w:val="center"/>
              <w:ind w:left="187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Brazil LTDA</w:t>
            </w:r>
          </w:p>
        </w:tc>
        <w:tc>
          <w:tcPr>
            <w:tcW w:w="756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S.R.I.</w:t>
            </w:r>
          </w:p>
        </w:tc>
        <w:tc>
          <w:tcPr>
            <w:tcW w:w="7560" w:type="dxa"/>
            <w:vAlign w:val="bottom"/>
            <w:tcBorders>
              <w:bottom w:val="single" w:sz="8" w:color="CCEEFF"/>
            </w:tcBorders>
            <w:shd w:val="clear" w:color="auto" w:fill="CCEEFF"/>
          </w:tcPr>
          <w:p>
            <w:pPr>
              <w:jc w:val="center"/>
              <w:ind w:left="187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Mexico International</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Video Networks Malaysia Sdn Bhd</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Harmonic International Australia Pty Ltd</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Italia Srl</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Italy</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Financiere Kepler SAS</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France SAS</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Thomson Video Networks India Private Ltd</w:t>
            </w:r>
          </w:p>
        </w:tc>
        <w:tc>
          <w:tcPr>
            <w:tcW w:w="756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368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Harmonic Technologies (Canada)</w:t>
            </w:r>
          </w:p>
        </w:tc>
        <w:tc>
          <w:tcPr>
            <w:tcW w:w="7560" w:type="dxa"/>
            <w:vAlign w:val="bottom"/>
            <w:tcBorders>
              <w:bottom w:val="single" w:sz="8" w:color="CCEEFF"/>
            </w:tcBorders>
            <w:shd w:val="clear" w:color="auto" w:fill="CCEEFF"/>
          </w:tcPr>
          <w:p>
            <w:pPr>
              <w:jc w:val="center"/>
              <w:ind w:left="185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979"/>
        </w:trPr>
        <w:tc>
          <w:tcPr>
            <w:tcW w:w="3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consent to the incorporation by reference in the following Registration Statements (Form S-8 Nos. 333-38025, 333-65051, 333-86649, 333-84720, 333-91464, 333-116467, 333-136425, 333-154715, 333-159877, 333-167197, 333-176211, 333-182931, 333-192089, 333-200032, 333-207866, 333-212242, 333-218902, 333-225874, 333-232431, 333-244390, 333-258980, 333-267002, 333-275317, 333-282948, and 333-287984) of Harmonic Inc. of our reports dated February 24, 2026, with respect to the consolidated financial statements of Harmonic Inc. and the effectiveness of internal control over financial reporting of Harmonic Inc. included in this Annual Report (Form 10-K) of Harmonic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Principle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Nimrod Ben-Natan, certify that:</w:t>
      </w:r>
    </w:p>
    <w:p>
      <w:pPr>
        <w:spacing w:after="0" w:line="19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Harmonic Inc.;</w:t>
      </w:r>
    </w:p>
    <w:p>
      <w:pPr>
        <w:spacing w:after="0" w:line="184"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Nimrod Ben-Natan</w:t>
            </w:r>
          </w:p>
        </w:tc>
      </w:tr>
      <w:tr>
        <w:trPr>
          <w:trHeight w:val="218"/>
        </w:trPr>
        <w:tc>
          <w:tcPr>
            <w:tcW w:w="3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Nimrod Ben-Natan</w:t>
            </w:r>
          </w:p>
        </w:tc>
      </w:tr>
      <w:tr>
        <w:trPr>
          <w:trHeight w:val="234"/>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34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06"/>
        </w:trPr>
        <w:tc>
          <w:tcPr>
            <w:tcW w:w="3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Jankovic, certify that:</w:t>
      </w:r>
    </w:p>
    <w:p>
      <w:pPr>
        <w:spacing w:after="0" w:line="19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Harmonic Inc.;</w:t>
      </w:r>
    </w:p>
    <w:p>
      <w:pPr>
        <w:spacing w:after="0" w:line="184"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40" w:right="220" w:hanging="514"/>
        <w:spacing w:after="0" w:line="282"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Walter Jankovic</w:t>
            </w:r>
          </w:p>
        </w:tc>
      </w:tr>
      <w:tr>
        <w:trPr>
          <w:trHeight w:val="191"/>
        </w:trPr>
        <w:tc>
          <w:tcPr>
            <w:tcW w:w="3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Walter Jankovic</w:t>
            </w:r>
          </w:p>
        </w:tc>
      </w:tr>
      <w:tr>
        <w:trPr>
          <w:trHeight w:val="234"/>
        </w:trPr>
        <w:tc>
          <w:tcPr>
            <w:tcW w:w="34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3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39"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I, Nimrod Ben-Natan, President and Chief Executive Officer of Harmonic Inc., certify, pursuant to 18 U.S.C. Section 1350, as adopted pursuant to Section 906 of the Sarbanes-Oxley Act of 2002, that the annual report of the Company on Form 10-K for the fiscal year ended December 31, 2025, fully complies with the requirements of Section 13(a) or 15(d) of the Securities Exchange Act of 1934, and that the information contained in the Annual Report on Form 10-K fairly presents, in all material respects, the financial condition and results of operations of Harmonic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Nimrod Ben-Natan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Nimrod Ben-Natan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Harmonic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3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 Walter Jankovic, Chief Financial Officer of Harmonic Inc., certify, pursuant to 18 U.S.C. Section 1350, as adopted pursuant to Section 906 of the Sarbanes-Oxley Act of 2002, that the annual report of the Company on Form 10-K for the fiscal year ended December 31, 2025, fully complies with the requirements of Section 13(a) or 15(d) of the Securities Exchange Act of 1934, and that the information contained in the Annual Report on Form 10-K fairly presents, in all material respects, the financial condition and results of operations of Harmonic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Walter Jankovic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Walter Jankovic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Roman"/>
      <w:start w:val="18"/>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lowerLetter"/>
      <w:start w:val="2"/>
    </w:lvl>
  </w:abstractNum>
  <w:abstractNum w:abstractNumId="32">
    <w:nsid w:val="7724C67E"/>
    <w:multiLevelType w:val="hybridMultilevel"/>
    <w:lvl w:ilvl="0">
      <w:lvlJc w:val="left"/>
      <w:lvlText w:val="%1."/>
      <w:numFmt w:val="decimal"/>
      <w:start w:val="2"/>
    </w:lvl>
    <w:lvl w:ilvl="1">
      <w:lvlJc w:val="left"/>
      <w:lvlText w:val="(%2)"/>
      <w:numFmt w:val="lowerLetter"/>
      <w:start w:val="1"/>
    </w:lvl>
  </w:abstractNum>
  <w:abstractNum w:abstractNumId="33">
    <w:nsid w:val="5C482A97"/>
    <w:multiLevelType w:val="hybridMultilevel"/>
    <w:lvl w:ilvl="0">
      <w:lvlJc w:val="left"/>
      <w:lvlText w:val="%1."/>
      <w:numFmt w:val="decimal"/>
      <w:start w:val="3"/>
    </w:lvl>
    <w:lvl w:ilvl="1">
      <w:lvlJc w:val="left"/>
      <w:lvlText w:val="(%2)"/>
      <w:numFmt w:val="lowerLetter"/>
      <w:start w:val="1"/>
    </w:lvl>
  </w:abstractNum>
  <w:abstractNum w:abstractNumId="34">
    <w:nsid w:val="2463B9EA"/>
    <w:multiLevelType w:val="hybridMultilevel"/>
    <w:lvl w:ilvl="0">
      <w:lvlJc w:val="left"/>
      <w:lvlText w:val="%1"/>
      <w:numFmt w:val="decimal"/>
      <w:start w:val="1"/>
    </w:lvl>
    <w:lvl w:ilvl="1">
      <w:lvlJc w:val="left"/>
      <w:lvlText w:val="(%2)"/>
      <w:numFmt w:val="lowerLetter"/>
      <w:start w:val="1"/>
    </w:lvl>
  </w:abstractNum>
  <w:abstractNum w:abstractNumId="35">
    <w:nsid w:val="5E884ADC"/>
    <w:multiLevelType w:val="hybridMultilevel"/>
    <w:lvl w:ilvl="0">
      <w:lvlJc w:val="left"/>
      <w:lvlText w:val="%1."/>
      <w:numFmt w:val="decimal"/>
      <w:start w:val="9"/>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3"/>
    </w:lvl>
  </w:abstractNum>
  <w:abstractNum w:abstractNumId="37">
    <w:nsid w:val="2D517796"/>
    <w:multiLevelType w:val="hybridMultilevel"/>
    <w:lvl w:ilvl="0">
      <w:lvlJc w:val="left"/>
      <w:lvlText w:val="%1."/>
      <w:numFmt w:val="decimal"/>
      <w:start w:val="11"/>
    </w:lvl>
    <w:lvl w:ilvl="1">
      <w:lvlJc w:val="left"/>
      <w:lvlText w:val="%2"/>
      <w:numFmt w:val="lowerLetter"/>
      <w:start w:val="1"/>
    </w:lvl>
  </w:abstractNum>
  <w:abstractNum w:abstractNumId="38">
    <w:nsid w:val="580BD78F"/>
    <w:multiLevelType w:val="hybridMultilevel"/>
    <w:lvl w:ilvl="0">
      <w:lvlJc w:val="left"/>
      <w:lvlText w:val="%1."/>
      <w:numFmt w:val="decimal"/>
      <w:start w:val="13"/>
    </w:lvl>
  </w:abstractNum>
  <w:abstractNum w:abstractNumId="39">
    <w:nsid w:val="153EA438"/>
    <w:multiLevelType w:val="hybridMultilevel"/>
    <w:lvl w:ilvl="0">
      <w:lvlJc w:val="left"/>
      <w:lvlText w:val="%1."/>
      <w:numFmt w:val="decimal"/>
      <w:start w:val="18"/>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04" Type="http://schemas.openxmlformats.org/officeDocument/2006/relationships/hyperlink" Target="https://www.sec.gov/Archives/edgar/data/851310/000089161802001226/f78639ex3-1.txt" TargetMode="External"/><Relationship Id="rId305" Type="http://schemas.openxmlformats.org/officeDocument/2006/relationships/hyperlink" Target="https://www.sec.gov/Archives/edgar/data/851310/000085131023000097/hlit-20230929_ex32.htm" TargetMode="External"/><Relationship Id="rId306" Type="http://schemas.openxmlformats.org/officeDocument/2006/relationships/hyperlink" Target="https://www.sec.gov/Archives/edgar/data/851310/000089161802003388/f83114exv3w2.txt" TargetMode="External"/><Relationship Id="rId307" Type="http://schemas.openxmlformats.org/officeDocument/2006/relationships/hyperlink" Target="https://www.sec.gov/Archives/edgar/data/851310/000085131020000006/hlit-20191231xex48.htm" TargetMode="External"/><Relationship Id="rId308" Type="http://schemas.openxmlformats.org/officeDocument/2006/relationships/hyperlink" Target="https://www.sec.gov/Archives/edgar/data/851310/000085131024000096/hlit2024111s-8ex102.htm" TargetMode="External"/><Relationship Id="rId309" Type="http://schemas.openxmlformats.org/officeDocument/2006/relationships/hyperlink" Target="https://www.sec.gov/Archives/edgar/data/851310/000085131021000043/hlit2021821s-8ex102.htm" TargetMode="External"/><Relationship Id="rId310" Type="http://schemas.openxmlformats.org/officeDocument/2006/relationships/hyperlink" Target="https://www.sec.gov/Archives/edgar/data/851310/000085131025000054/hlit2025612s-8ex101.htm" TargetMode="External"/><Relationship Id="rId311" Type="http://schemas.openxmlformats.org/officeDocument/2006/relationships/hyperlink" Target="https://www.sec.gov/Archives/edgar/data/851310/000085131025000054/exhibit41.htm" TargetMode="External"/><Relationship Id="rId312" Type="http://schemas.openxmlformats.org/officeDocument/2006/relationships/hyperlink" Target="https://www.sec.gov/Archives/edgar/data/851310/000119312526042914/hlit-ex10_3.htm" TargetMode="External"/><Relationship Id="rId313" Type="http://schemas.openxmlformats.org/officeDocument/2006/relationships/hyperlink" Target="https://www.sec.gov/Archives/edgar/data/851310/000085131023000052/ex101offerletter.htm" TargetMode="External"/><Relationship Id="rId314" Type="http://schemas.openxmlformats.org/officeDocument/2006/relationships/hyperlink" Target="https://www.sec.gov/Archives/edgar/data/851310/000119312526042914/hlit-ex10_2.htm" TargetMode="External"/><Relationship Id="rId315" Type="http://schemas.openxmlformats.org/officeDocument/2006/relationships/hyperlink" Target="https://www.sec.gov/Archives/edgar/data/851310/000085131023000106/ex101changeofctrlseverance.htm" TargetMode="External"/><Relationship Id="rId316" Type="http://schemas.openxmlformats.org/officeDocument/2006/relationships/hyperlink" Target="https://www.sec.gov/Archives/edgar/data/851310/000089161809000062/f51550exv10w31.htm" TargetMode="External"/><Relationship Id="rId317" Type="http://schemas.openxmlformats.org/officeDocument/2006/relationships/hyperlink" Target="https://www.sec.gov/Archives/edgar/data/851310/000089161809000062/f51550exv10w32.htm" TargetMode="External"/><Relationship Id="rId318" Type="http://schemas.openxmlformats.org/officeDocument/2006/relationships/hyperlink" Target="https://www.sec.gov/Archives/edgar/data/851310/000089161809000062/f51550exv10w33.htm" TargetMode="External"/><Relationship Id="rId319" Type="http://schemas.openxmlformats.org/officeDocument/2006/relationships/hyperlink" Target="https://www.sec.gov/Archives/edgar/data/851310/000085131023000087/exhibit102to8-kmrpa.htm" TargetMode="External"/><Relationship Id="rId320" Type="http://schemas.openxmlformats.org/officeDocument/2006/relationships/hyperlink" Target="https://www.sec.gov/Archives/edgar/data/851310/000085131023000113/ex101citicreditagreement.htm" TargetMode="External"/><Relationship Id="rId321" Type="http://schemas.openxmlformats.org/officeDocument/2006/relationships/hyperlink" Target="https://www.sec.gov/Archives/edgar/data/851310/000085131024000103/ex101.htm" TargetMode="External"/><Relationship Id="rId322" Type="http://schemas.openxmlformats.org/officeDocument/2006/relationships/hyperlink" Target="https://www.sec.gov/Archives/edgar/data/851310/000085131024000040/ex101.htm" TargetMode="External"/><Relationship Id="rId323" Type="http://schemas.openxmlformats.org/officeDocument/2006/relationships/hyperlink" Target="https://www.sec.gov/Archives/edgar/data/851310/000119312526042914/hlit-ex10_1.htm" TargetMode="External"/><Relationship Id="rId324" Type="http://schemas.openxmlformats.org/officeDocument/2006/relationships/hyperlink" Target="https://www.sec.gov/Archives/edgar/data/851310/000119312525311656/d30982dex21.htm" TargetMode="External"/><Relationship Id="rId325" Type="http://schemas.openxmlformats.org/officeDocument/2006/relationships/hyperlink" Target="https://www.sec.gov/Archives/edgar/data/851310/000085131025000021/hlit-20241231xex191.htm" TargetMode="External"/><Relationship Id="rId328" Type="http://schemas.openxmlformats.org/officeDocument/2006/relationships/hyperlink" Target="https://www.sec.gov/Archives/edgar/data/851310/000085131025000021/hlit-2024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2026-02-24T16:26:06Z</dcterms:created>
  <dcterms:modified xsi:type="dcterms:W3CDTF">2026-02-24T16:26:06Z</dcterms:modified>
</cp:coreProperties>
</file>