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sz w:val="20"/>
          <w:szCs w:val="20"/>
          <w:color w:val="auto"/>
        </w:rPr>
      </w:pP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Arial" w:cs="Arial" w:eastAsia="Arial" w:hAnsi="Arial"/>
          <w:sz w:val="18"/>
          <w:szCs w:val="18"/>
          <w:color w:val="auto"/>
        </w:rPr>
        <w:t>(HARMONIC LOGO)</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VIA EDGAR</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June 14, 2007</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Division of Corporate Finance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20549-0407</w:t>
      </w:r>
    </w:p>
    <w:p>
      <w:pPr>
        <w:spacing w:after="0" w:line="9"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color w:val="auto"/>
        </w:rPr>
        <w:t>ATTN:</w:t>
        <w:tab/>
        <w:t>Larry Spirgel, Assistant Director</w:t>
      </w:r>
    </w:p>
    <w:p>
      <w:pPr>
        <w:spacing w:after="0" w:line="207"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b w:val="1"/>
          <w:bCs w:val="1"/>
          <w:color w:val="auto"/>
        </w:rPr>
        <w:t>RE:</w:t>
      </w:r>
      <w:r>
        <w:rPr>
          <w:sz w:val="20"/>
          <w:szCs w:val="20"/>
          <w:color w:val="auto"/>
        </w:rPr>
        <w:tab/>
      </w:r>
      <w:r>
        <w:rPr>
          <w:rFonts w:ascii="Arial" w:cs="Arial" w:eastAsia="Arial" w:hAnsi="Arial"/>
          <w:sz w:val="18"/>
          <w:szCs w:val="18"/>
          <w:b w:val="1"/>
          <w:bCs w:val="1"/>
          <w:u w:val="single" w:color="auto"/>
          <w:color w:val="auto"/>
        </w:rPr>
        <w:t>HARMONIC INC.</w:t>
      </w:r>
    </w:p>
    <w:p>
      <w:pPr>
        <w:spacing w:after="0" w:line="27"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Form 10-K for the fiscal year ended December 31, 2006</w:t>
      </w:r>
    </w:p>
    <w:p>
      <w:pPr>
        <w:spacing w:after="0" w:line="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Filed March 15, 2007</w:t>
      </w:r>
    </w:p>
    <w:p>
      <w:pPr>
        <w:spacing w:after="0" w:line="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File No. 0-26906</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1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Harmonic Inc. (“we”, “our”, the “Company” or “Harmonic”) respectfully submits this correspondence to the staff (the “Staff”) of the Securities and Exchange Commission (the “Commission”) in response to the Commission’s letter dated May 23, 2007 (the “Comment Letter”).</w:t>
      </w:r>
    </w:p>
    <w:p>
      <w:pPr>
        <w:spacing w:after="0" w:line="62"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To facilitate your review of Harmonic’s responses to the comment by the Staff as set forth in the Comment Letter, we have reproduced below the Staff’s comment followed by our response.</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Form 10-K for the Year Ended December 31, 2006</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Notes to Consolidated Financial Statements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Note 1: Organization, Basis of Presentation and Summary of Significant Accounting Policies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Revenue Recognition, page 67</w:t>
      </w:r>
    </w:p>
    <w:p>
      <w:pPr>
        <w:spacing w:after="0" w:line="117" w:lineRule="exact"/>
        <w:rPr>
          <w:sz w:val="20"/>
          <w:szCs w:val="20"/>
          <w:color w:val="auto"/>
        </w:rPr>
      </w:pPr>
    </w:p>
    <w:p>
      <w:pPr>
        <w:ind w:left="260" w:right="60" w:hanging="252"/>
        <w:spacing w:after="0" w:line="302" w:lineRule="auto"/>
        <w:tabs>
          <w:tab w:leader="none" w:pos="260" w:val="left"/>
        </w:tabs>
        <w:numPr>
          <w:ilvl w:val="0"/>
          <w:numId w:val="1"/>
        </w:numPr>
        <w:rPr>
          <w:rFonts w:ascii="Arial" w:cs="Arial" w:eastAsia="Arial" w:hAnsi="Arial"/>
          <w:sz w:val="16"/>
          <w:szCs w:val="16"/>
          <w:color w:val="auto"/>
        </w:rPr>
      </w:pPr>
      <w:r>
        <w:rPr>
          <w:rFonts w:ascii="Arial" w:cs="Arial" w:eastAsia="Arial" w:hAnsi="Arial"/>
          <w:sz w:val="16"/>
          <w:szCs w:val="16"/>
          <w:i w:val="1"/>
          <w:iCs w:val="1"/>
          <w:color w:val="auto"/>
        </w:rPr>
        <w:t>Please refer to prior comment 2. Tell us in detail about the contracts for which you use the percentage of completion method to recognize revenue, including the amount of product that is used and the amount of labor and billing rates for the laborers and the importance of customer acceptance. Tell us your consideration of SAB Topic 13A3b, and c. Your response does not provide us with sufficient information to understand the appropriateness of your accounting and did not address your consideration of SOP 81-1 and ARB 45 including whether your contracts are subject to the guidance.</w:t>
      </w:r>
    </w:p>
    <w:p>
      <w:pPr>
        <w:spacing w:after="0" w:line="59" w:lineRule="exact"/>
        <w:rPr>
          <w:rFonts w:ascii="Arial" w:cs="Arial" w:eastAsia="Arial" w:hAnsi="Arial"/>
          <w:sz w:val="16"/>
          <w:szCs w:val="16"/>
          <w:color w:val="auto"/>
        </w:rPr>
      </w:pPr>
    </w:p>
    <w:p>
      <w:pPr>
        <w:ind w:left="260"/>
        <w:spacing w:after="0" w:line="308" w:lineRule="auto"/>
        <w:rPr>
          <w:rFonts w:ascii="Arial" w:cs="Arial" w:eastAsia="Arial" w:hAnsi="Arial"/>
          <w:sz w:val="16"/>
          <w:szCs w:val="16"/>
          <w:color w:val="auto"/>
        </w:rPr>
      </w:pPr>
      <w:r>
        <w:rPr>
          <w:rFonts w:ascii="Arial" w:cs="Arial" w:eastAsia="Arial" w:hAnsi="Arial"/>
          <w:sz w:val="17"/>
          <w:szCs w:val="17"/>
          <w:color w:val="auto"/>
        </w:rPr>
        <w:t>The Company respectfully advises the Staff that it only applies the percentage-of-completion method to solution sales that fall within the scope of SOP 81-1 and ARB 45 or that must be accounted for in accordance with SOP 81-1 based on the criteria set forth in paragraph 74 of SOP 97-2.</w:t>
      </w:r>
    </w:p>
    <w:p>
      <w:pPr>
        <w:spacing w:after="0" w:line="51" w:lineRule="exact"/>
        <w:rPr>
          <w:rFonts w:ascii="Arial" w:cs="Arial" w:eastAsia="Arial" w:hAnsi="Arial"/>
          <w:sz w:val="16"/>
          <w:szCs w:val="16"/>
          <w:color w:val="auto"/>
        </w:rPr>
      </w:pPr>
    </w:p>
    <w:p>
      <w:pPr>
        <w:ind w:left="260" w:right="560"/>
        <w:spacing w:after="0" w:line="264" w:lineRule="auto"/>
        <w:rPr>
          <w:rFonts w:ascii="Arial" w:cs="Arial" w:eastAsia="Arial" w:hAnsi="Arial"/>
          <w:sz w:val="16"/>
          <w:szCs w:val="16"/>
          <w:color w:val="auto"/>
        </w:rPr>
      </w:pPr>
      <w:r>
        <w:rPr>
          <w:rFonts w:ascii="Arial" w:cs="Arial" w:eastAsia="Arial" w:hAnsi="Arial"/>
          <w:sz w:val="18"/>
          <w:szCs w:val="18"/>
          <w:color w:val="auto"/>
        </w:rPr>
        <w:t>Such solution sale arrangements involve the design, manufacture, test, integration and installation of equipment to the specifications of Harmonic’s customers, including equipment acquired from third parties to be integrated with Harmonic’s products and software that is customized to meet the customer’s specifications.</w:t>
      </w:r>
    </w:p>
    <w:p>
      <w:pPr>
        <w:spacing w:after="0" w:line="157" w:lineRule="exact"/>
        <w:rPr>
          <w:sz w:val="20"/>
          <w:szCs w:val="20"/>
          <w:color w:val="auto"/>
        </w:rPr>
      </w:pPr>
    </w:p>
    <w:p>
      <w:pPr>
        <w:jc w:val="right"/>
        <w:spacing w:after="0"/>
        <w:rPr>
          <w:sz w:val="20"/>
          <w:szCs w:val="20"/>
          <w:color w:val="auto"/>
        </w:rPr>
      </w:pP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Arial" w:cs="Arial" w:eastAsia="Arial" w:hAnsi="Arial"/>
          <w:sz w:val="18"/>
          <w:szCs w:val="18"/>
          <w:color w:val="auto"/>
        </w:rPr>
        <w:t>(HARMONIC LETTERHEAD FOOTER)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392430</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15"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t>Larry Spirgel, Assistant Director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U. S. Securities and Exchange Commission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June 14, 2007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2 of 5</w:t>
      </w:r>
    </w:p>
    <w:p>
      <w:pPr>
        <w:spacing w:after="0" w:line="103" w:lineRule="exact"/>
        <w:rPr>
          <w:sz w:val="20"/>
          <w:szCs w:val="20"/>
          <w:color w:val="auto"/>
        </w:rPr>
      </w:pPr>
    </w:p>
    <w:p>
      <w:pPr>
        <w:ind w:left="220"/>
        <w:spacing w:after="0" w:line="272" w:lineRule="auto"/>
        <w:rPr>
          <w:sz w:val="20"/>
          <w:szCs w:val="20"/>
          <w:color w:val="auto"/>
        </w:rPr>
      </w:pPr>
      <w:r>
        <w:rPr>
          <w:rFonts w:ascii="Arial" w:cs="Arial" w:eastAsia="Arial" w:hAnsi="Arial"/>
          <w:sz w:val="17"/>
          <w:szCs w:val="17"/>
          <w:color w:val="auto"/>
        </w:rPr>
        <w:t>These arrangements require Harmonic to provide integrated solutions to our customers such as Comcast and Time Warner. Harmonic’s integrated solutions enable these customers to receive video and audio signals from their content providers (broadcasters and studios) and to process and manage these signals into appropriate formats and protocols. These audio and video signals are then delivered over the customer’s distribution network (i.e. cable, satellite, Internet) to their subscribers, who are primarily residential customers. Harmonic is required to configure, integrate, and optimize its solution so that the solution interoperates with equipment and software provided by other vendors for the delivery of audio and video signals to the customer’s subscribers via the customer’s network. Other vendors’ products include set-top boxes, software, switches, routers, and conditional access systems provided from suppliers such as Motorola, Microsoft and Cisco Systems.</w:t>
      </w:r>
    </w:p>
    <w:p>
      <w:pPr>
        <w:spacing w:after="0" w:line="83" w:lineRule="exact"/>
        <w:rPr>
          <w:sz w:val="20"/>
          <w:szCs w:val="20"/>
          <w:color w:val="auto"/>
        </w:rPr>
      </w:pPr>
    </w:p>
    <w:p>
      <w:pPr>
        <w:ind w:left="220" w:right="260"/>
        <w:spacing w:after="0" w:line="312" w:lineRule="auto"/>
        <w:rPr>
          <w:sz w:val="20"/>
          <w:szCs w:val="20"/>
          <w:color w:val="auto"/>
        </w:rPr>
      </w:pPr>
      <w:r>
        <w:rPr>
          <w:rFonts w:ascii="Arial" w:cs="Arial" w:eastAsia="Arial" w:hAnsi="Arial"/>
          <w:sz w:val="16"/>
          <w:szCs w:val="16"/>
          <w:color w:val="auto"/>
        </w:rPr>
        <w:t>The services that we provide under these arrangements include the configuration of system interfaces between Harmonic equipment and customer/third party equipment and the optimization of the overall solution to operate with the customer’s existing systems. This allows the Harmonic solution to interoperate with the unique features of the customer’s network design and to meet customer specific performance expectations.</w:t>
      </w:r>
    </w:p>
    <w:p>
      <w:pPr>
        <w:spacing w:after="0" w:line="5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Paragraph 7 and 74 of SOP 97-2 state that</w:t>
      </w:r>
    </w:p>
    <w:p>
      <w:pPr>
        <w:spacing w:after="0" w:line="131" w:lineRule="exact"/>
        <w:rPr>
          <w:sz w:val="20"/>
          <w:szCs w:val="20"/>
          <w:color w:val="auto"/>
        </w:rPr>
      </w:pPr>
    </w:p>
    <w:p>
      <w:pPr>
        <w:ind w:left="220" w:right="180"/>
        <w:spacing w:after="0" w:line="257" w:lineRule="auto"/>
        <w:rPr>
          <w:sz w:val="20"/>
          <w:szCs w:val="20"/>
          <w:color w:val="auto"/>
        </w:rPr>
      </w:pPr>
      <w:r>
        <w:rPr>
          <w:rFonts w:ascii="Arial" w:cs="Arial" w:eastAsia="Arial" w:hAnsi="Arial"/>
          <w:sz w:val="18"/>
          <w:szCs w:val="18"/>
          <w:color w:val="auto"/>
        </w:rPr>
        <w:t>“if an arrangement to deliver software or a software system, either alone or together with other products or services, requires significant production, modification or customization of the software, the service element does not meet the criteria for separate accounting set forth in paragraph 65. The entire arrangement should be accounted for in conformity with ARB No. 45, using the relevant guidance in SOP 81-1. Nevertheless transactions that normally are accounted for as product sales should not be accounted for as long-term contracts merely to avoid the delivery requirements associated with product sales for revenue recognition”.</w:t>
      </w:r>
    </w:p>
    <w:p>
      <w:pPr>
        <w:spacing w:after="0" w:line="94" w:lineRule="exact"/>
        <w:rPr>
          <w:sz w:val="20"/>
          <w:szCs w:val="20"/>
          <w:color w:val="auto"/>
        </w:rPr>
      </w:pPr>
    </w:p>
    <w:p>
      <w:pPr>
        <w:jc w:val="both"/>
        <w:ind w:left="220" w:right="20"/>
        <w:spacing w:after="0" w:line="312" w:lineRule="auto"/>
        <w:rPr>
          <w:sz w:val="20"/>
          <w:szCs w:val="20"/>
          <w:color w:val="auto"/>
        </w:rPr>
      </w:pPr>
      <w:r>
        <w:rPr>
          <w:rFonts w:ascii="Arial" w:cs="Arial" w:eastAsia="Arial" w:hAnsi="Arial"/>
          <w:sz w:val="16"/>
          <w:szCs w:val="16"/>
          <w:color w:val="auto"/>
        </w:rPr>
        <w:t>Accordingly, for each arrangement that the Company enters into that includes both products and services, the Company’s Revenue Accounting department performs a detailed evaluation for each arrangement to determine whether the arrangement should be accounted for as a single arrangement under SOP 81-1, or alternatively, for arrangements that do not involve significant production, modification or customization, under other accounting guidance.</w:t>
      </w:r>
    </w:p>
    <w:p>
      <w:pPr>
        <w:spacing w:after="0" w:line="52" w:lineRule="exact"/>
        <w:rPr>
          <w:sz w:val="20"/>
          <w:szCs w:val="20"/>
          <w:color w:val="auto"/>
        </w:rPr>
      </w:pPr>
    </w:p>
    <w:p>
      <w:pPr>
        <w:jc w:val="both"/>
        <w:ind w:left="220" w:right="360"/>
        <w:spacing w:after="0" w:line="312" w:lineRule="auto"/>
        <w:rPr>
          <w:sz w:val="20"/>
          <w:szCs w:val="20"/>
          <w:color w:val="auto"/>
        </w:rPr>
      </w:pPr>
      <w:r>
        <w:rPr>
          <w:rFonts w:ascii="Arial" w:cs="Arial" w:eastAsia="Arial" w:hAnsi="Arial"/>
          <w:sz w:val="16"/>
          <w:szCs w:val="16"/>
          <w:color w:val="auto"/>
        </w:rPr>
        <w:t>In applying SOP 81-1 and ARB 45, the Company evaluates the guidance in paragraph 21 through 33 of SOP 81-1 to determine, for each arrangement, whether percentage-of-completion accounting is applicable. In particular, the criteria of paragraph 23 are evaluated and the percentage-of-completion method is applied in circumstances in which reasonably dependable estimates can be made and in which all of the following conditions exist:</w:t>
      </w:r>
    </w:p>
    <w:p>
      <w:pPr>
        <w:spacing w:after="0" w:line="39" w:lineRule="exact"/>
        <w:rPr>
          <w:sz w:val="20"/>
          <w:szCs w:val="20"/>
          <w:color w:val="auto"/>
        </w:rPr>
      </w:pPr>
    </w:p>
    <w:p>
      <w:pPr>
        <w:ind w:left="900" w:hanging="217"/>
        <w:spacing w:after="0" w:line="277" w:lineRule="auto"/>
        <w:tabs>
          <w:tab w:leader="none" w:pos="90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The contract includes provisions that clearly specify the enforceable rights regarding goods or services to be provided and received by the parties, the consideration to be exchanged, and the manner and terms of settlement.</w:t>
      </w:r>
    </w:p>
    <w:p>
      <w:pPr>
        <w:spacing w:after="0" w:line="75" w:lineRule="exact"/>
        <w:rPr>
          <w:rFonts w:ascii="Arial" w:cs="Arial" w:eastAsia="Arial" w:hAnsi="Arial"/>
          <w:sz w:val="18"/>
          <w:szCs w:val="18"/>
          <w:b w:val="1"/>
          <w:bCs w:val="1"/>
          <w:color w:val="auto"/>
        </w:rPr>
      </w:pPr>
    </w:p>
    <w:p>
      <w:pPr>
        <w:ind w:left="900" w:hanging="217"/>
        <w:spacing w:after="0"/>
        <w:tabs>
          <w:tab w:leader="none" w:pos="90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The customer is expected to satisfy his obligations under the contract.</w:t>
      </w:r>
    </w:p>
    <w:p>
      <w:pPr>
        <w:spacing w:after="0" w:line="130" w:lineRule="exact"/>
        <w:rPr>
          <w:rFonts w:ascii="Arial" w:cs="Arial" w:eastAsia="Arial" w:hAnsi="Arial"/>
          <w:sz w:val="18"/>
          <w:szCs w:val="18"/>
          <w:b w:val="1"/>
          <w:bCs w:val="1"/>
          <w:color w:val="auto"/>
        </w:rPr>
      </w:pPr>
    </w:p>
    <w:p>
      <w:pPr>
        <w:ind w:left="900" w:hanging="217"/>
        <w:spacing w:after="0"/>
        <w:tabs>
          <w:tab w:leader="none" w:pos="90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The Company is expected to perform on its contractual obligations.</w:t>
      </w:r>
    </w:p>
    <w:p>
      <w:pPr>
        <w:spacing w:after="0" w:line="117" w:lineRule="exact"/>
        <w:rPr>
          <w:sz w:val="20"/>
          <w:szCs w:val="20"/>
          <w:color w:val="auto"/>
        </w:rPr>
      </w:pPr>
    </w:p>
    <w:p>
      <w:pPr>
        <w:ind w:left="220"/>
        <w:spacing w:after="0" w:line="276" w:lineRule="auto"/>
        <w:rPr>
          <w:sz w:val="20"/>
          <w:szCs w:val="20"/>
          <w:color w:val="auto"/>
        </w:rPr>
      </w:pPr>
      <w:r>
        <w:rPr>
          <w:rFonts w:ascii="Arial" w:cs="Arial" w:eastAsia="Arial" w:hAnsi="Arial"/>
          <w:sz w:val="17"/>
          <w:szCs w:val="17"/>
          <w:color w:val="auto"/>
        </w:rPr>
        <w:t>The Company has a long-standing history of entering into contractual arrangements to deliver the solution sales described above, and such arrangements represent a significant part of the operations of the Company. At the outset of each arrangement accounted for under SOP 81-1, the Company develops a detailed project plan and associated labor cost estimates for each project. The Company believes that, based on its historical experience, it has the ability to make estimates that are sufficiently dependable to justify the use of the percentage-of-completion method of accounting and accordingly, utilizes percentage-of-completion accounting for most arrangements that are within the scope of SOP 81-1.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374015</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3" w:name="page4"/>
    <w:bookmarkEnd w:id="3"/>
    <w:p>
      <w:pPr>
        <w:spacing w:after="0"/>
        <w:rPr>
          <w:sz w:val="20"/>
          <w:szCs w:val="20"/>
          <w:color w:val="auto"/>
        </w:rPr>
      </w:pPr>
      <w:r>
        <w:rPr>
          <w:rFonts w:ascii="Arial" w:cs="Arial" w:eastAsia="Arial" w:hAnsi="Arial"/>
          <w:sz w:val="18"/>
          <w:szCs w:val="18"/>
          <w:color w:val="auto"/>
        </w:rPr>
        <w:t>Larry Spirgel, Assistant Director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U. S. Securities and Exchange Commission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June 14, 2007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3 of 5</w:t>
      </w:r>
    </w:p>
    <w:p>
      <w:pPr>
        <w:spacing w:after="0" w:line="103" w:lineRule="exact"/>
        <w:rPr>
          <w:sz w:val="20"/>
          <w:szCs w:val="20"/>
          <w:color w:val="auto"/>
        </w:rPr>
      </w:pPr>
    </w:p>
    <w:p>
      <w:pPr>
        <w:ind w:left="220" w:right="280"/>
        <w:spacing w:after="0" w:line="277" w:lineRule="auto"/>
        <w:rPr>
          <w:sz w:val="20"/>
          <w:szCs w:val="20"/>
          <w:color w:val="auto"/>
        </w:rPr>
      </w:pPr>
      <w:r>
        <w:rPr>
          <w:rFonts w:ascii="Arial" w:cs="Arial" w:eastAsia="Arial" w:hAnsi="Arial"/>
          <w:sz w:val="18"/>
          <w:szCs w:val="18"/>
          <w:color w:val="auto"/>
        </w:rPr>
        <w:t>The following table shows the percentage of net revenues for the years ended December 31, 2004, 2005 and 2006 for which we used the percentage-of-completion accounting method to recognize revenue:</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60" w:type="dxa"/>
            <w:vAlign w:val="bottom"/>
            <w:vMerge w:val="restart"/>
          </w:tcPr>
          <w:p>
            <w:pPr>
              <w:jc w:val="center"/>
              <w:ind w:left="1094"/>
              <w:spacing w:after="0"/>
              <w:rPr>
                <w:sz w:val="20"/>
                <w:szCs w:val="20"/>
                <w:color w:val="auto"/>
              </w:rPr>
            </w:pPr>
            <w:r>
              <w:rPr>
                <w:rFonts w:ascii="Arial" w:cs="Arial" w:eastAsia="Arial" w:hAnsi="Arial"/>
                <w:sz w:val="14"/>
                <w:szCs w:val="14"/>
                <w:b w:val="1"/>
                <w:bCs w:val="1"/>
                <w:color w:val="auto"/>
              </w:rPr>
              <w:t>FY</w:t>
            </w:r>
          </w:p>
        </w:tc>
        <w:tc>
          <w:tcPr>
            <w:tcW w:w="3180" w:type="dxa"/>
            <w:vAlign w:val="bottom"/>
          </w:tcPr>
          <w:p>
            <w:pPr>
              <w:jc w:val="right"/>
              <w:ind w:right="357"/>
              <w:spacing w:after="0"/>
              <w:rPr>
                <w:sz w:val="20"/>
                <w:szCs w:val="20"/>
                <w:color w:val="auto"/>
              </w:rPr>
            </w:pPr>
            <w:r>
              <w:rPr>
                <w:rFonts w:ascii="Arial" w:cs="Arial" w:eastAsia="Arial" w:hAnsi="Arial"/>
                <w:sz w:val="14"/>
                <w:szCs w:val="14"/>
                <w:b w:val="1"/>
                <w:bCs w:val="1"/>
                <w:color w:val="auto"/>
              </w:rPr>
              <w:t>% Completion</w:t>
            </w:r>
          </w:p>
        </w:tc>
        <w:tc>
          <w:tcPr>
            <w:tcW w:w="1680" w:type="dxa"/>
            <w:vAlign w:val="bottom"/>
          </w:tcPr>
          <w:p>
            <w:pPr>
              <w:jc w:val="right"/>
              <w:ind w:right="177"/>
              <w:spacing w:after="0"/>
              <w:rPr>
                <w:sz w:val="20"/>
                <w:szCs w:val="20"/>
                <w:color w:val="auto"/>
              </w:rPr>
            </w:pPr>
            <w:r>
              <w:rPr>
                <w:rFonts w:ascii="Arial" w:cs="Arial" w:eastAsia="Arial" w:hAnsi="Arial"/>
                <w:sz w:val="14"/>
                <w:szCs w:val="14"/>
                <w:b w:val="1"/>
                <w:bCs w:val="1"/>
                <w:color w:val="auto"/>
              </w:rPr>
              <w:t>Total Consolidated</w:t>
            </w:r>
          </w:p>
        </w:tc>
        <w:tc>
          <w:tcPr>
            <w:tcW w:w="1700" w:type="dxa"/>
            <w:vAlign w:val="bottom"/>
          </w:tcPr>
          <w:p>
            <w:pPr>
              <w:jc w:val="right"/>
              <w:spacing w:after="0"/>
              <w:rPr>
                <w:sz w:val="20"/>
                <w:szCs w:val="20"/>
                <w:color w:val="auto"/>
              </w:rPr>
            </w:pPr>
            <w:r>
              <w:rPr>
                <w:rFonts w:ascii="Arial" w:cs="Arial" w:eastAsia="Arial" w:hAnsi="Arial"/>
                <w:sz w:val="14"/>
                <w:szCs w:val="14"/>
                <w:b w:val="1"/>
                <w:bCs w:val="1"/>
                <w:color w:val="auto"/>
              </w:rPr>
              <w:t>As a % of Consolidated</w:t>
            </w:r>
          </w:p>
        </w:tc>
        <w:tc>
          <w:tcPr>
            <w:tcW w:w="0" w:type="dxa"/>
            <w:vAlign w:val="bottom"/>
          </w:tcPr>
          <w:p>
            <w:pPr>
              <w:spacing w:after="0"/>
              <w:rPr>
                <w:sz w:val="1"/>
                <w:szCs w:val="1"/>
                <w:color w:val="auto"/>
              </w:rPr>
            </w:pPr>
          </w:p>
        </w:tc>
      </w:tr>
      <w:tr>
        <w:trPr>
          <w:trHeight w:val="171"/>
        </w:trPr>
        <w:tc>
          <w:tcPr>
            <w:tcW w:w="4860" w:type="dxa"/>
            <w:vAlign w:val="bottom"/>
            <w:tcBorders>
              <w:bottom w:val="single" w:sz="8" w:color="auto"/>
            </w:tcBorders>
            <w:vMerge w:val="continue"/>
          </w:tcPr>
          <w:p>
            <w:pPr>
              <w:spacing w:after="0"/>
              <w:rPr>
                <w:sz w:val="14"/>
                <w:szCs w:val="14"/>
                <w:color w:val="auto"/>
              </w:rPr>
            </w:pPr>
          </w:p>
        </w:tc>
        <w:tc>
          <w:tcPr>
            <w:tcW w:w="3180" w:type="dxa"/>
            <w:vAlign w:val="bottom"/>
            <w:tcBorders>
              <w:bottom w:val="single" w:sz="8" w:color="auto"/>
            </w:tcBorders>
          </w:tcPr>
          <w:p>
            <w:pPr>
              <w:jc w:val="right"/>
              <w:ind w:right="177"/>
              <w:spacing w:after="0"/>
              <w:rPr>
                <w:sz w:val="20"/>
                <w:szCs w:val="20"/>
                <w:color w:val="auto"/>
              </w:rPr>
            </w:pPr>
            <w:r>
              <w:rPr>
                <w:rFonts w:ascii="Arial" w:cs="Arial" w:eastAsia="Arial" w:hAnsi="Arial"/>
                <w:sz w:val="14"/>
                <w:szCs w:val="14"/>
                <w:b w:val="1"/>
                <w:bCs w:val="1"/>
                <w:color w:val="auto"/>
              </w:rPr>
              <w:t>Revenue Recognized</w:t>
            </w:r>
          </w:p>
        </w:tc>
        <w:tc>
          <w:tcPr>
            <w:tcW w:w="1680" w:type="dxa"/>
            <w:vAlign w:val="bottom"/>
            <w:tcBorders>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Revenue</w:t>
            </w:r>
          </w:p>
        </w:tc>
        <w:tc>
          <w:tcPr>
            <w:tcW w:w="1700" w:type="dxa"/>
            <w:vAlign w:val="bottom"/>
            <w:tcBorders>
              <w:bottom w:val="single" w:sz="8" w:color="auto"/>
            </w:tcBorders>
          </w:tcPr>
          <w:p>
            <w:pPr>
              <w:jc w:val="right"/>
              <w:ind w:right="377"/>
              <w:spacing w:after="0"/>
              <w:rPr>
                <w:sz w:val="20"/>
                <w:szCs w:val="20"/>
                <w:color w:val="auto"/>
              </w:rPr>
            </w:pPr>
            <w:r>
              <w:rPr>
                <w:rFonts w:ascii="Arial" w:cs="Arial" w:eastAsia="Arial" w:hAnsi="Arial"/>
                <w:sz w:val="14"/>
                <w:szCs w:val="14"/>
                <w:b w:val="1"/>
                <w:bCs w:val="1"/>
                <w:color w:val="auto"/>
              </w:rPr>
              <w:t>Revenue</w:t>
            </w:r>
          </w:p>
        </w:tc>
        <w:tc>
          <w:tcPr>
            <w:tcW w:w="0" w:type="dxa"/>
            <w:vAlign w:val="bottom"/>
          </w:tcPr>
          <w:p>
            <w:pPr>
              <w:spacing w:after="0"/>
              <w:rPr>
                <w:sz w:val="1"/>
                <w:szCs w:val="1"/>
                <w:color w:val="auto"/>
              </w:rPr>
            </w:pPr>
          </w:p>
        </w:tc>
      </w:tr>
      <w:tr>
        <w:trPr>
          <w:trHeight w:val="223"/>
        </w:trPr>
        <w:tc>
          <w:tcPr>
            <w:tcW w:w="486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jc w:val="center"/>
              <w:ind w:left="1094"/>
              <w:spacing w:after="0"/>
              <w:rPr>
                <w:sz w:val="20"/>
                <w:szCs w:val="20"/>
                <w:color w:val="auto"/>
              </w:rPr>
            </w:pPr>
            <w:r>
              <w:rPr>
                <w:rFonts w:ascii="Arial" w:cs="Arial" w:eastAsia="Arial" w:hAnsi="Arial"/>
                <w:sz w:val="18"/>
                <w:szCs w:val="18"/>
                <w:color w:val="auto"/>
                <w:w w:val="89"/>
              </w:rPr>
              <w:t>2004</w:t>
            </w:r>
          </w:p>
        </w:tc>
        <w:tc>
          <w:tcPr>
            <w:tcW w:w="3180" w:type="dxa"/>
            <w:vAlign w:val="bottom"/>
            <w:shd w:val="clear" w:color="auto" w:fill="CCEEFF"/>
          </w:tcPr>
          <w:p>
            <w:pPr>
              <w:jc w:val="right"/>
              <w:ind w:right="357"/>
              <w:spacing w:after="0"/>
              <w:rPr>
                <w:sz w:val="20"/>
                <w:szCs w:val="20"/>
                <w:color w:val="auto"/>
              </w:rPr>
            </w:pPr>
            <w:r>
              <w:rPr>
                <w:rFonts w:ascii="Arial" w:cs="Arial" w:eastAsia="Arial" w:hAnsi="Arial"/>
                <w:sz w:val="18"/>
                <w:szCs w:val="18"/>
                <w:color w:val="auto"/>
              </w:rPr>
              <w:t>$ 43,231,952</w:t>
            </w:r>
          </w:p>
        </w:tc>
        <w:tc>
          <w:tcPr>
            <w:tcW w:w="1680" w:type="dxa"/>
            <w:vAlign w:val="bottom"/>
            <w:shd w:val="clear" w:color="auto" w:fill="CCEEFF"/>
          </w:tcPr>
          <w:p>
            <w:pPr>
              <w:jc w:val="right"/>
              <w:ind w:right="317"/>
              <w:spacing w:after="0"/>
              <w:rPr>
                <w:sz w:val="20"/>
                <w:szCs w:val="20"/>
                <w:color w:val="auto"/>
              </w:rPr>
            </w:pPr>
            <w:r>
              <w:rPr>
                <w:rFonts w:ascii="Arial" w:cs="Arial" w:eastAsia="Arial" w:hAnsi="Arial"/>
                <w:sz w:val="18"/>
                <w:szCs w:val="18"/>
                <w:color w:val="auto"/>
              </w:rPr>
              <w:t>$248,306,412</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0" w:type="dxa"/>
            <w:vAlign w:val="bottom"/>
          </w:tcPr>
          <w:p>
            <w:pPr>
              <w:spacing w:after="0"/>
              <w:rPr>
                <w:sz w:val="1"/>
                <w:szCs w:val="1"/>
                <w:color w:val="auto"/>
              </w:rPr>
            </w:pPr>
          </w:p>
        </w:tc>
      </w:tr>
      <w:tr>
        <w:trPr>
          <w:trHeight w:val="216"/>
        </w:trPr>
        <w:tc>
          <w:tcPr>
            <w:tcW w:w="4860" w:type="dxa"/>
            <w:vAlign w:val="bottom"/>
          </w:tcPr>
          <w:p>
            <w:pPr>
              <w:jc w:val="center"/>
              <w:ind w:left="1094"/>
              <w:spacing w:after="0"/>
              <w:rPr>
                <w:sz w:val="20"/>
                <w:szCs w:val="20"/>
                <w:color w:val="auto"/>
              </w:rPr>
            </w:pPr>
            <w:r>
              <w:rPr>
                <w:rFonts w:ascii="Arial" w:cs="Arial" w:eastAsia="Arial" w:hAnsi="Arial"/>
                <w:sz w:val="18"/>
                <w:szCs w:val="18"/>
                <w:color w:val="auto"/>
                <w:w w:val="89"/>
              </w:rPr>
              <w:t>2005</w:t>
            </w:r>
          </w:p>
        </w:tc>
        <w:tc>
          <w:tcPr>
            <w:tcW w:w="3180" w:type="dxa"/>
            <w:vAlign w:val="bottom"/>
          </w:tcPr>
          <w:p>
            <w:pPr>
              <w:jc w:val="right"/>
              <w:ind w:right="357"/>
              <w:spacing w:after="0"/>
              <w:rPr>
                <w:sz w:val="20"/>
                <w:szCs w:val="20"/>
                <w:color w:val="auto"/>
              </w:rPr>
            </w:pPr>
            <w:r>
              <w:rPr>
                <w:rFonts w:ascii="Arial" w:cs="Arial" w:eastAsia="Arial" w:hAnsi="Arial"/>
                <w:sz w:val="18"/>
                <w:szCs w:val="18"/>
                <w:color w:val="auto"/>
              </w:rPr>
              <w:t>26,751,799</w:t>
            </w:r>
          </w:p>
        </w:tc>
        <w:tc>
          <w:tcPr>
            <w:tcW w:w="1680" w:type="dxa"/>
            <w:vAlign w:val="bottom"/>
          </w:tcPr>
          <w:p>
            <w:pPr>
              <w:jc w:val="right"/>
              <w:ind w:right="317"/>
              <w:spacing w:after="0"/>
              <w:rPr>
                <w:sz w:val="20"/>
                <w:szCs w:val="20"/>
                <w:color w:val="auto"/>
              </w:rPr>
            </w:pPr>
            <w:r>
              <w:rPr>
                <w:rFonts w:ascii="Arial" w:cs="Arial" w:eastAsia="Arial" w:hAnsi="Arial"/>
                <w:sz w:val="18"/>
                <w:szCs w:val="18"/>
                <w:color w:val="auto"/>
              </w:rPr>
              <w:t>257,377,706</w:t>
            </w:r>
          </w:p>
        </w:tc>
        <w:tc>
          <w:tcPr>
            <w:tcW w:w="1700" w:type="dxa"/>
            <w:vAlign w:val="bottom"/>
          </w:tcPr>
          <w:p>
            <w:pPr>
              <w:jc w:val="right"/>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jc w:val="center"/>
              <w:ind w:left="1094"/>
              <w:spacing w:after="0"/>
              <w:rPr>
                <w:sz w:val="20"/>
                <w:szCs w:val="20"/>
                <w:color w:val="auto"/>
              </w:rPr>
            </w:pPr>
            <w:r>
              <w:rPr>
                <w:rFonts w:ascii="Arial" w:cs="Arial" w:eastAsia="Arial" w:hAnsi="Arial"/>
                <w:sz w:val="18"/>
                <w:szCs w:val="18"/>
                <w:color w:val="auto"/>
                <w:w w:val="89"/>
              </w:rPr>
              <w:t>2006</w:t>
            </w:r>
          </w:p>
        </w:tc>
        <w:tc>
          <w:tcPr>
            <w:tcW w:w="3180" w:type="dxa"/>
            <w:vAlign w:val="bottom"/>
            <w:shd w:val="clear" w:color="auto" w:fill="CCEEFF"/>
          </w:tcPr>
          <w:p>
            <w:pPr>
              <w:jc w:val="right"/>
              <w:ind w:right="357"/>
              <w:spacing w:after="0"/>
              <w:rPr>
                <w:sz w:val="20"/>
                <w:szCs w:val="20"/>
                <w:color w:val="auto"/>
              </w:rPr>
            </w:pPr>
            <w:r>
              <w:rPr>
                <w:rFonts w:ascii="Arial" w:cs="Arial" w:eastAsia="Arial" w:hAnsi="Arial"/>
                <w:sz w:val="18"/>
                <w:szCs w:val="18"/>
                <w:color w:val="auto"/>
              </w:rPr>
              <w:t>29,358,172</w:t>
            </w:r>
          </w:p>
        </w:tc>
        <w:tc>
          <w:tcPr>
            <w:tcW w:w="1680" w:type="dxa"/>
            <w:vAlign w:val="bottom"/>
            <w:shd w:val="clear" w:color="auto" w:fill="CCEEFF"/>
          </w:tcPr>
          <w:p>
            <w:pPr>
              <w:jc w:val="right"/>
              <w:ind w:right="317"/>
              <w:spacing w:after="0"/>
              <w:rPr>
                <w:sz w:val="20"/>
                <w:szCs w:val="20"/>
                <w:color w:val="auto"/>
              </w:rPr>
            </w:pPr>
            <w:r>
              <w:rPr>
                <w:rFonts w:ascii="Arial" w:cs="Arial" w:eastAsia="Arial" w:hAnsi="Arial"/>
                <w:sz w:val="18"/>
                <w:szCs w:val="18"/>
                <w:color w:val="auto"/>
              </w:rPr>
              <w:t>247,684,636</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following table shows product and service costs as a percentage of total contract costs during the year indicated:</w:t>
      </w:r>
    </w:p>
    <w:p>
      <w:pPr>
        <w:spacing w:after="0" w:line="217" w:lineRule="exact"/>
        <w:rPr>
          <w:sz w:val="20"/>
          <w:szCs w:val="20"/>
          <w:color w:val="auto"/>
        </w:rPr>
      </w:pPr>
    </w:p>
    <w:p>
      <w:pPr>
        <w:jc w:val="center"/>
        <w:ind w:left="7120"/>
        <w:spacing w:after="0"/>
        <w:rPr>
          <w:sz w:val="20"/>
          <w:szCs w:val="20"/>
          <w:color w:val="auto"/>
        </w:rPr>
      </w:pPr>
      <w:r>
        <w:rPr>
          <w:rFonts w:ascii="Arial" w:cs="Arial" w:eastAsia="Arial" w:hAnsi="Arial"/>
          <w:sz w:val="14"/>
          <w:szCs w:val="14"/>
          <w:b w:val="1"/>
          <w:bCs w:val="1"/>
          <w:color w:val="auto"/>
        </w:rPr>
        <w:t>For the 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4524375</wp:posOffset>
            </wp:positionH>
            <wp:positionV relativeFrom="paragraph">
              <wp:posOffset>6350</wp:posOffset>
            </wp:positionV>
            <wp:extent cx="272732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727325" cy="8890"/>
                    </a:xfrm>
                    <a:prstGeom prst="rect">
                      <a:avLst/>
                    </a:prstGeom>
                    <a:noFill/>
                  </pic:spPr>
                </pic:pic>
              </a:graphicData>
            </a:graphic>
          </wp:anchor>
        </w:drawing>
      </w:r>
    </w:p>
    <w:p>
      <w:pPr>
        <w:ind w:left="7520"/>
        <w:spacing w:after="0"/>
        <w:tabs>
          <w:tab w:leader="none" w:pos="9100" w:val="left"/>
          <w:tab w:leader="none" w:pos="10720" w:val="left"/>
        </w:tabs>
        <w:rPr>
          <w:sz w:val="20"/>
          <w:szCs w:val="20"/>
          <w:color w:val="auto"/>
        </w:rPr>
      </w:pPr>
      <w:r>
        <w:rPr>
          <w:rFonts w:ascii="Arial" w:cs="Arial" w:eastAsia="Arial" w:hAnsi="Arial"/>
          <w:sz w:val="14"/>
          <w:szCs w:val="14"/>
          <w:b w:val="1"/>
          <w:bCs w:val="1"/>
          <w:color w:val="auto"/>
        </w:rPr>
        <w:t>2004</w:t>
      </w:r>
      <w:r>
        <w:rPr>
          <w:sz w:val="20"/>
          <w:szCs w:val="20"/>
          <w:color w:val="auto"/>
        </w:rPr>
        <w:tab/>
      </w:r>
      <w:r>
        <w:rPr>
          <w:rFonts w:ascii="Arial" w:cs="Arial" w:eastAsia="Arial" w:hAnsi="Arial"/>
          <w:sz w:val="14"/>
          <w:szCs w:val="14"/>
          <w:b w:val="1"/>
          <w:bCs w:val="1"/>
          <w:color w:val="auto"/>
        </w:rPr>
        <w:t>2005</w:t>
      </w:r>
      <w:r>
        <w:rPr>
          <w:sz w:val="20"/>
          <w:szCs w:val="20"/>
          <w:color w:val="auto"/>
        </w:rPr>
        <w:tab/>
      </w:r>
      <w:r>
        <w:rPr>
          <w:rFonts w:ascii="Arial" w:cs="Arial" w:eastAsia="Arial" w:hAnsi="Arial"/>
          <w:sz w:val="12"/>
          <w:szCs w:val="12"/>
          <w:b w:val="1"/>
          <w:bCs w:val="1"/>
          <w:color w:val="auto"/>
        </w:rPr>
        <w:t>2006</w:t>
      </w:r>
    </w:p>
    <w:p>
      <w:pPr>
        <w:sectPr>
          <w:pgSz w:w="11900" w:h="16838" w:orient="portrait"/>
          <w:cols w:equalWidth="0" w:num="1">
            <w:col w:w="11420"/>
          </w:cols>
          <w:pgMar w:left="240" w:top="935" w:right="239" w:bottom="1440" w:gutter="0" w:footer="0" w:header="0"/>
        </w:sectPr>
      </w:pP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Product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Service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Total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51" w:lineRule="exact"/>
        <w:rPr>
          <w:sz w:val="20"/>
          <w:szCs w:val="20"/>
          <w:color w:val="auto"/>
        </w:rPr>
      </w:pPr>
    </w:p>
    <w:p>
      <w:pPr>
        <w:ind w:left="220"/>
        <w:spacing w:after="0"/>
        <w:rPr>
          <w:sz w:val="20"/>
          <w:szCs w:val="20"/>
          <w:color w:val="auto"/>
        </w:rPr>
      </w:pPr>
      <w:r>
        <w:rPr>
          <w:rFonts w:ascii="Arial" w:cs="Arial" w:eastAsia="Arial" w:hAnsi="Arial"/>
          <w:sz w:val="16"/>
          <w:szCs w:val="16"/>
          <w:color w:val="auto"/>
        </w:rPr>
        <w:t>Service costs for contracts are further broken down as follows:</w:t>
      </w:r>
    </w:p>
    <w:p>
      <w:pPr>
        <w:spacing w:after="0" w:line="20" w:lineRule="exact"/>
        <w:rPr>
          <w:sz w:val="20"/>
          <w:szCs w:val="20"/>
          <w:color w:val="auto"/>
        </w:rPr>
      </w:pPr>
      <w:r>
        <w:rPr>
          <w:sz w:val="20"/>
          <w:szCs w:val="20"/>
          <w:color w:val="auto"/>
        </w:rPr>
        <w:br w:type="column"/>
      </w:r>
    </w:p>
    <w:p>
      <w:pPr>
        <w:spacing w:after="0" w:line="17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160" w:type="dxa"/>
            <w:vAlign w:val="bottom"/>
            <w:gridSpan w:val="2"/>
          </w:tcPr>
          <w:p>
            <w:pPr>
              <w:jc w:val="right"/>
              <w:ind w:right="168"/>
              <w:spacing w:after="0"/>
              <w:rPr>
                <w:sz w:val="20"/>
                <w:szCs w:val="20"/>
                <w:color w:val="auto"/>
              </w:rPr>
            </w:pPr>
            <w:r>
              <w:rPr>
                <w:rFonts w:ascii="Arial" w:cs="Arial" w:eastAsia="Arial" w:hAnsi="Arial"/>
                <w:sz w:val="18"/>
                <w:szCs w:val="18"/>
                <w:color w:val="auto"/>
                <w:w w:val="89"/>
              </w:rPr>
              <w:t>$16,487,447</w:t>
            </w:r>
          </w:p>
        </w:tc>
        <w:tc>
          <w:tcPr>
            <w:tcW w:w="1800" w:type="dxa"/>
            <w:vAlign w:val="bottom"/>
          </w:tcPr>
          <w:p>
            <w:pPr>
              <w:jc w:val="right"/>
              <w:ind w:right="335"/>
              <w:spacing w:after="0"/>
              <w:rPr>
                <w:sz w:val="20"/>
                <w:szCs w:val="20"/>
                <w:color w:val="auto"/>
              </w:rPr>
            </w:pPr>
            <w:r>
              <w:rPr>
                <w:rFonts w:ascii="Arial" w:cs="Arial" w:eastAsia="Arial" w:hAnsi="Arial"/>
                <w:sz w:val="18"/>
                <w:szCs w:val="18"/>
                <w:color w:val="auto"/>
              </w:rPr>
              <w:t>$12,079,113</w:t>
            </w:r>
          </w:p>
        </w:tc>
        <w:tc>
          <w:tcPr>
            <w:tcW w:w="1340" w:type="dxa"/>
            <w:vAlign w:val="bottom"/>
          </w:tcPr>
          <w:p>
            <w:pPr>
              <w:jc w:val="right"/>
              <w:ind w:right="73"/>
              <w:spacing w:after="0"/>
              <w:rPr>
                <w:sz w:val="20"/>
                <w:szCs w:val="20"/>
                <w:color w:val="auto"/>
              </w:rPr>
            </w:pPr>
            <w:r>
              <w:rPr>
                <w:rFonts w:ascii="Arial" w:cs="Arial" w:eastAsia="Arial" w:hAnsi="Arial"/>
                <w:sz w:val="18"/>
                <w:szCs w:val="18"/>
                <w:color w:val="auto"/>
              </w:rPr>
              <w:t>$10,254,655</w:t>
            </w:r>
          </w:p>
        </w:tc>
      </w:tr>
      <w:tr>
        <w:trPr>
          <w:trHeight w:val="216"/>
        </w:trPr>
        <w:tc>
          <w:tcPr>
            <w:tcW w:w="1160" w:type="dxa"/>
            <w:vAlign w:val="bottom"/>
            <w:gridSpan w:val="2"/>
          </w:tcPr>
          <w:p>
            <w:pPr>
              <w:jc w:val="right"/>
              <w:ind w:right="8"/>
              <w:spacing w:after="0"/>
              <w:rPr>
                <w:sz w:val="20"/>
                <w:szCs w:val="20"/>
                <w:color w:val="auto"/>
              </w:rPr>
            </w:pPr>
            <w:r>
              <w:rPr>
                <w:rFonts w:ascii="Arial" w:cs="Arial" w:eastAsia="Arial" w:hAnsi="Arial"/>
                <w:sz w:val="18"/>
                <w:szCs w:val="18"/>
                <w:color w:val="auto"/>
              </w:rPr>
              <w:t>85%</w:t>
            </w:r>
          </w:p>
        </w:tc>
        <w:tc>
          <w:tcPr>
            <w:tcW w:w="1800" w:type="dxa"/>
            <w:vAlign w:val="bottom"/>
          </w:tcPr>
          <w:p>
            <w:pPr>
              <w:jc w:val="right"/>
              <w:ind w:right="195"/>
              <w:spacing w:after="0"/>
              <w:rPr>
                <w:sz w:val="20"/>
                <w:szCs w:val="20"/>
                <w:color w:val="auto"/>
              </w:rPr>
            </w:pPr>
            <w:r>
              <w:rPr>
                <w:rFonts w:ascii="Arial" w:cs="Arial" w:eastAsia="Arial" w:hAnsi="Arial"/>
                <w:sz w:val="18"/>
                <w:szCs w:val="18"/>
                <w:color w:val="auto"/>
              </w:rPr>
              <w:t>82%</w:t>
            </w:r>
          </w:p>
        </w:tc>
        <w:tc>
          <w:tcPr>
            <w:tcW w:w="1340" w:type="dxa"/>
            <w:vAlign w:val="bottom"/>
          </w:tcPr>
          <w:p>
            <w:pPr>
              <w:jc w:val="right"/>
              <w:spacing w:after="0"/>
              <w:rPr>
                <w:sz w:val="20"/>
                <w:szCs w:val="20"/>
                <w:color w:val="auto"/>
              </w:rPr>
            </w:pPr>
            <w:r>
              <w:rPr>
                <w:rFonts w:ascii="Arial" w:cs="Arial" w:eastAsia="Arial" w:hAnsi="Arial"/>
                <w:sz w:val="18"/>
                <w:szCs w:val="18"/>
                <w:color w:val="auto"/>
              </w:rPr>
              <w:t>82%</w:t>
            </w:r>
          </w:p>
        </w:tc>
      </w:tr>
      <w:tr>
        <w:trPr>
          <w:trHeight w:val="216"/>
        </w:trPr>
        <w:tc>
          <w:tcPr>
            <w:tcW w:w="1160" w:type="dxa"/>
            <w:vAlign w:val="bottom"/>
            <w:gridSpan w:val="2"/>
          </w:tcPr>
          <w:p>
            <w:pPr>
              <w:jc w:val="right"/>
              <w:ind w:right="168"/>
              <w:spacing w:after="0"/>
              <w:rPr>
                <w:sz w:val="20"/>
                <w:szCs w:val="20"/>
                <w:color w:val="auto"/>
              </w:rPr>
            </w:pPr>
            <w:r>
              <w:rPr>
                <w:rFonts w:ascii="Arial" w:cs="Arial" w:eastAsia="Arial" w:hAnsi="Arial"/>
                <w:sz w:val="18"/>
                <w:szCs w:val="18"/>
                <w:color w:val="auto"/>
              </w:rPr>
              <w:t>2,801,685</w:t>
            </w:r>
          </w:p>
        </w:tc>
        <w:tc>
          <w:tcPr>
            <w:tcW w:w="1800" w:type="dxa"/>
            <w:vAlign w:val="bottom"/>
          </w:tcPr>
          <w:p>
            <w:pPr>
              <w:jc w:val="right"/>
              <w:ind w:right="335"/>
              <w:spacing w:after="0"/>
              <w:rPr>
                <w:sz w:val="20"/>
                <w:szCs w:val="20"/>
                <w:color w:val="auto"/>
              </w:rPr>
            </w:pPr>
            <w:r>
              <w:rPr>
                <w:rFonts w:ascii="Arial" w:cs="Arial" w:eastAsia="Arial" w:hAnsi="Arial"/>
                <w:sz w:val="18"/>
                <w:szCs w:val="18"/>
                <w:color w:val="auto"/>
              </w:rPr>
              <w:t>2,648,382</w:t>
            </w:r>
          </w:p>
        </w:tc>
        <w:tc>
          <w:tcPr>
            <w:tcW w:w="1340" w:type="dxa"/>
            <w:vAlign w:val="bottom"/>
          </w:tcPr>
          <w:p>
            <w:pPr>
              <w:jc w:val="right"/>
              <w:ind w:right="73"/>
              <w:spacing w:after="0"/>
              <w:rPr>
                <w:sz w:val="20"/>
                <w:szCs w:val="20"/>
                <w:color w:val="auto"/>
              </w:rPr>
            </w:pPr>
            <w:r>
              <w:rPr>
                <w:rFonts w:ascii="Arial" w:cs="Arial" w:eastAsia="Arial" w:hAnsi="Arial"/>
                <w:sz w:val="18"/>
                <w:szCs w:val="18"/>
                <w:color w:val="auto"/>
              </w:rPr>
              <w:t>2,201,868</w:t>
            </w:r>
          </w:p>
        </w:tc>
      </w:tr>
      <w:tr>
        <w:trPr>
          <w:trHeight w:val="230"/>
        </w:trPr>
        <w:tc>
          <w:tcPr>
            <w:tcW w:w="1160" w:type="dxa"/>
            <w:vAlign w:val="bottom"/>
            <w:tcBorders>
              <w:bottom w:val="single" w:sz="8" w:color="auto"/>
            </w:tcBorders>
            <w:gridSpan w:val="2"/>
          </w:tcPr>
          <w:p>
            <w:pPr>
              <w:jc w:val="right"/>
              <w:ind w:right="8"/>
              <w:spacing w:after="0"/>
              <w:rPr>
                <w:sz w:val="20"/>
                <w:szCs w:val="20"/>
                <w:color w:val="auto"/>
              </w:rPr>
            </w:pPr>
            <w:r>
              <w:rPr>
                <w:rFonts w:ascii="Arial" w:cs="Arial" w:eastAsia="Arial" w:hAnsi="Arial"/>
                <w:sz w:val="18"/>
                <w:szCs w:val="18"/>
                <w:color w:val="auto"/>
              </w:rPr>
              <w:t>15%</w:t>
            </w:r>
          </w:p>
        </w:tc>
        <w:tc>
          <w:tcPr>
            <w:tcW w:w="1800" w:type="dxa"/>
            <w:vAlign w:val="bottom"/>
            <w:tcBorders>
              <w:bottom w:val="single" w:sz="8" w:color="auto"/>
            </w:tcBorders>
          </w:tcPr>
          <w:p>
            <w:pPr>
              <w:jc w:val="right"/>
              <w:ind w:right="195"/>
              <w:spacing w:after="0"/>
              <w:rPr>
                <w:sz w:val="20"/>
                <w:szCs w:val="20"/>
                <w:color w:val="auto"/>
              </w:rPr>
            </w:pPr>
            <w:r>
              <w:rPr>
                <w:rFonts w:ascii="Arial" w:cs="Arial" w:eastAsia="Arial" w:hAnsi="Arial"/>
                <w:sz w:val="18"/>
                <w:szCs w:val="18"/>
                <w:color w:val="auto"/>
              </w:rPr>
              <w:t>18%</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r>
      <w:tr>
        <w:trPr>
          <w:trHeight w:val="223"/>
        </w:trPr>
        <w:tc>
          <w:tcPr>
            <w:tcW w:w="1160" w:type="dxa"/>
            <w:vAlign w:val="bottom"/>
            <w:tcBorders>
              <w:bottom w:val="single" w:sz="8" w:color="auto"/>
            </w:tcBorders>
            <w:gridSpan w:val="2"/>
          </w:tcPr>
          <w:p>
            <w:pPr>
              <w:jc w:val="right"/>
              <w:ind w:right="168"/>
              <w:spacing w:after="0"/>
              <w:rPr>
                <w:sz w:val="20"/>
                <w:szCs w:val="20"/>
                <w:color w:val="auto"/>
              </w:rPr>
            </w:pPr>
            <w:r>
              <w:rPr>
                <w:rFonts w:ascii="Arial" w:cs="Arial" w:eastAsia="Arial" w:hAnsi="Arial"/>
                <w:sz w:val="18"/>
                <w:szCs w:val="18"/>
                <w:color w:val="auto"/>
                <w:w w:val="89"/>
              </w:rPr>
              <w:t>$19,289,132</w:t>
            </w:r>
          </w:p>
        </w:tc>
        <w:tc>
          <w:tcPr>
            <w:tcW w:w="1800" w:type="dxa"/>
            <w:vAlign w:val="bottom"/>
            <w:tcBorders>
              <w:bottom w:val="single" w:sz="8" w:color="auto"/>
            </w:tcBorders>
          </w:tcPr>
          <w:p>
            <w:pPr>
              <w:jc w:val="right"/>
              <w:ind w:right="335"/>
              <w:spacing w:after="0"/>
              <w:rPr>
                <w:sz w:val="20"/>
                <w:szCs w:val="20"/>
                <w:color w:val="auto"/>
              </w:rPr>
            </w:pPr>
            <w:r>
              <w:rPr>
                <w:rFonts w:ascii="Arial" w:cs="Arial" w:eastAsia="Arial" w:hAnsi="Arial"/>
                <w:sz w:val="18"/>
                <w:szCs w:val="18"/>
                <w:color w:val="auto"/>
              </w:rPr>
              <w:t>$14,727,495</w:t>
            </w:r>
          </w:p>
        </w:tc>
        <w:tc>
          <w:tcPr>
            <w:tcW w:w="134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$12,456,523</w:t>
            </w:r>
          </w:p>
        </w:tc>
      </w:tr>
      <w:tr>
        <w:trPr>
          <w:trHeight w:val="20"/>
        </w:trPr>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140" w:type="dxa"/>
            <w:vAlign w:val="bottom"/>
            <w:tcBorders>
              <w:bottom w:val="single" w:sz="8" w:color="auto"/>
            </w:tcBorders>
            <w:gridSpan w:val="2"/>
          </w:tcPr>
          <w:p>
            <w:pPr>
              <w:spacing w:after="0" w:line="20" w:lineRule="exact"/>
              <w:rPr>
                <w:sz w:val="1"/>
                <w:szCs w:val="1"/>
                <w:color w:val="auto"/>
              </w:rPr>
            </w:pPr>
          </w:p>
        </w:tc>
      </w:tr>
      <w:tr>
        <w:trPr>
          <w:trHeight w:val="683"/>
        </w:trPr>
        <w:tc>
          <w:tcPr>
            <w:tcW w:w="220" w:type="dxa"/>
            <w:vAlign w:val="bottom"/>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3140" w:type="dxa"/>
            <w:vAlign w:val="bottom"/>
            <w:tcBorders>
              <w:bottom w:val="single" w:sz="8" w:color="auto"/>
            </w:tcBorders>
            <w:gridSpan w:val="2"/>
          </w:tcPr>
          <w:p>
            <w:pPr>
              <w:jc w:val="right"/>
              <w:ind w:right="933"/>
              <w:spacing w:after="0"/>
              <w:rPr>
                <w:sz w:val="20"/>
                <w:szCs w:val="20"/>
                <w:color w:val="auto"/>
              </w:rPr>
            </w:pPr>
            <w:r>
              <w:rPr>
                <w:rFonts w:ascii="Arial" w:cs="Arial" w:eastAsia="Arial" w:hAnsi="Arial"/>
                <w:sz w:val="14"/>
                <w:szCs w:val="14"/>
                <w:b w:val="1"/>
                <w:bCs w:val="1"/>
                <w:color w:val="auto"/>
                <w:w w:val="94"/>
              </w:rPr>
              <w:t>For the Year ended December 31,</w:t>
            </w:r>
          </w:p>
        </w:tc>
      </w:tr>
      <w:tr>
        <w:trPr>
          <w:trHeight w:val="180"/>
        </w:trPr>
        <w:tc>
          <w:tcPr>
            <w:tcW w:w="220" w:type="dxa"/>
            <w:vAlign w:val="bottom"/>
          </w:tcPr>
          <w:p>
            <w:pPr>
              <w:spacing w:after="0"/>
              <w:rPr>
                <w:sz w:val="15"/>
                <w:szCs w:val="15"/>
                <w:color w:val="auto"/>
              </w:rPr>
            </w:pPr>
          </w:p>
        </w:tc>
        <w:tc>
          <w:tcPr>
            <w:tcW w:w="940" w:type="dxa"/>
            <w:vAlign w:val="bottom"/>
          </w:tcPr>
          <w:p>
            <w:pPr>
              <w:jc w:val="right"/>
              <w:ind w:right="228"/>
              <w:spacing w:after="0"/>
              <w:rPr>
                <w:sz w:val="20"/>
                <w:szCs w:val="20"/>
                <w:color w:val="auto"/>
              </w:rPr>
            </w:pPr>
            <w:r>
              <w:rPr>
                <w:rFonts w:ascii="Arial" w:cs="Arial" w:eastAsia="Arial" w:hAnsi="Arial"/>
                <w:sz w:val="14"/>
                <w:szCs w:val="14"/>
                <w:b w:val="1"/>
                <w:bCs w:val="1"/>
                <w:color w:val="auto"/>
              </w:rPr>
              <w:t>2004</w:t>
            </w:r>
          </w:p>
        </w:tc>
        <w:tc>
          <w:tcPr>
            <w:tcW w:w="1800" w:type="dxa"/>
            <w:vAlign w:val="bottom"/>
          </w:tcPr>
          <w:p>
            <w:pPr>
              <w:jc w:val="right"/>
              <w:ind w:right="475"/>
              <w:spacing w:after="0"/>
              <w:rPr>
                <w:sz w:val="20"/>
                <w:szCs w:val="20"/>
                <w:color w:val="auto"/>
              </w:rPr>
            </w:pPr>
            <w:r>
              <w:rPr>
                <w:rFonts w:ascii="Arial" w:cs="Arial" w:eastAsia="Arial" w:hAnsi="Arial"/>
                <w:sz w:val="14"/>
                <w:szCs w:val="14"/>
                <w:b w:val="1"/>
                <w:bCs w:val="1"/>
                <w:color w:val="auto"/>
              </w:rPr>
              <w:t>2005</w:t>
            </w:r>
          </w:p>
        </w:tc>
        <w:tc>
          <w:tcPr>
            <w:tcW w:w="1340" w:type="dxa"/>
            <w:vAlign w:val="bottom"/>
          </w:tcPr>
          <w:p>
            <w:pPr>
              <w:jc w:val="right"/>
              <w:ind w:right="273"/>
              <w:spacing w:after="0"/>
              <w:rPr>
                <w:sz w:val="20"/>
                <w:szCs w:val="20"/>
                <w:color w:val="auto"/>
              </w:rPr>
            </w:pPr>
            <w:r>
              <w:rPr>
                <w:rFonts w:ascii="Arial" w:cs="Arial" w:eastAsia="Arial" w:hAnsi="Arial"/>
                <w:sz w:val="14"/>
                <w:szCs w:val="14"/>
                <w:b w:val="1"/>
                <w:bCs w:val="1"/>
                <w:color w:val="auto"/>
              </w:rPr>
              <w:t>2006</w:t>
            </w:r>
          </w:p>
        </w:tc>
      </w:tr>
    </w:tbl>
    <w:p>
      <w:pPr>
        <w:spacing w:after="0" w:line="178" w:lineRule="exact"/>
        <w:rPr>
          <w:sz w:val="20"/>
          <w:szCs w:val="20"/>
          <w:color w:val="auto"/>
        </w:rPr>
      </w:pPr>
    </w:p>
    <w:p>
      <w:pPr>
        <w:sectPr>
          <w:pgSz w:w="11900" w:h="16838" w:orient="portrait"/>
          <w:cols w:equalWidth="0" w:num="2">
            <w:col w:w="6400" w:space="720"/>
            <w:col w:w="4300"/>
          </w:cols>
          <w:pgMar w:left="240" w:top="935" w:right="239" w:bottom="1440" w:gutter="0" w:footer="0" w:header="0"/>
          <w:type w:val="continuous"/>
        </w:sect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Labor Costs (incl. Travel)</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87"/>
              </w:rPr>
              <w:t>2,322,216</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87"/>
              </w:rPr>
              <w:t>1,913,191</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87"/>
              </w:rPr>
              <w:t>1,722,967</w:t>
            </w:r>
          </w:p>
        </w:tc>
      </w:tr>
      <w:tr>
        <w:trPr>
          <w:trHeight w:val="216"/>
        </w:trPr>
        <w:tc>
          <w:tcPr>
            <w:tcW w:w="20" w:type="dxa"/>
            <w:vAlign w:val="bottom"/>
          </w:tcPr>
          <w:p>
            <w:pPr>
              <w:spacing w:after="0"/>
              <w:rPr>
                <w:sz w:val="18"/>
                <w:szCs w:val="18"/>
                <w:color w:val="auto"/>
              </w:rPr>
            </w:pPr>
          </w:p>
        </w:tc>
        <w:tc>
          <w:tcPr>
            <w:tcW w:w="7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ind w:right="210"/>
              <w:spacing w:after="0"/>
              <w:rPr>
                <w:sz w:val="20"/>
                <w:szCs w:val="20"/>
                <w:color w:val="auto"/>
              </w:rPr>
            </w:pPr>
            <w:r>
              <w:rPr>
                <w:rFonts w:ascii="Arial" w:cs="Arial" w:eastAsia="Arial" w:hAnsi="Arial"/>
                <w:sz w:val="18"/>
                <w:szCs w:val="18"/>
                <w:color w:val="auto"/>
              </w:rPr>
              <w:t>83%</w:t>
            </w:r>
          </w:p>
        </w:tc>
        <w:tc>
          <w:tcPr>
            <w:tcW w:w="380" w:type="dxa"/>
            <w:vAlign w:val="bottom"/>
          </w:tcPr>
          <w:p>
            <w:pPr>
              <w:spacing w:after="0"/>
              <w:rPr>
                <w:sz w:val="18"/>
                <w:szCs w:val="18"/>
                <w:color w:val="auto"/>
              </w:rPr>
            </w:pPr>
          </w:p>
        </w:tc>
        <w:tc>
          <w:tcPr>
            <w:tcW w:w="1160" w:type="dxa"/>
            <w:vAlign w:val="bottom"/>
          </w:tcPr>
          <w:p>
            <w:pPr>
              <w:jc w:val="right"/>
              <w:ind w:right="210"/>
              <w:spacing w:after="0"/>
              <w:rPr>
                <w:sz w:val="20"/>
                <w:szCs w:val="20"/>
                <w:color w:val="auto"/>
              </w:rPr>
            </w:pPr>
            <w:r>
              <w:rPr>
                <w:rFonts w:ascii="Arial" w:cs="Arial" w:eastAsia="Arial" w:hAnsi="Arial"/>
                <w:sz w:val="18"/>
                <w:szCs w:val="18"/>
                <w:color w:val="auto"/>
              </w:rPr>
              <w:t>72%</w:t>
            </w:r>
          </w:p>
        </w:tc>
        <w:tc>
          <w:tcPr>
            <w:tcW w:w="3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Other Costs</w:t>
            </w: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479,469</w:t>
            </w:r>
          </w:p>
        </w:tc>
        <w:tc>
          <w:tcPr>
            <w:tcW w:w="38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735,191</w:t>
            </w: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478,901</w:t>
            </w:r>
          </w:p>
        </w:tc>
      </w:tr>
      <w:tr>
        <w:trPr>
          <w:trHeight w:val="223"/>
        </w:trPr>
        <w:tc>
          <w:tcPr>
            <w:tcW w:w="20" w:type="dxa"/>
            <w:vAlign w:val="bottom"/>
          </w:tcPr>
          <w:p>
            <w:pPr>
              <w:spacing w:after="0"/>
              <w:rPr>
                <w:sz w:val="19"/>
                <w:szCs w:val="19"/>
                <w:color w:val="auto"/>
              </w:rPr>
            </w:pPr>
          </w:p>
        </w:tc>
        <w:tc>
          <w:tcPr>
            <w:tcW w:w="73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17%</w:t>
            </w:r>
          </w:p>
        </w:tc>
        <w:tc>
          <w:tcPr>
            <w:tcW w:w="3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28%</w:t>
            </w:r>
          </w:p>
        </w:tc>
        <w:tc>
          <w:tcPr>
            <w:tcW w:w="3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Total Costs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87"/>
              </w:rPr>
              <w:t>2,801,685</w:t>
            </w: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87"/>
              </w:rPr>
              <w:t>2,648,382</w:t>
            </w: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87"/>
              </w:rPr>
              <w:t>2,201,868</w:t>
            </w:r>
          </w:p>
        </w:tc>
      </w:tr>
      <w:tr>
        <w:trPr>
          <w:trHeight w:val="20"/>
        </w:trPr>
        <w:tc>
          <w:tcPr>
            <w:tcW w:w="7340" w:type="dxa"/>
            <w:vAlign w:val="bottom"/>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426"/>
        </w:trPr>
        <w:tc>
          <w:tcPr>
            <w:tcW w:w="7340" w:type="dxa"/>
            <w:vAlign w:val="bottom"/>
            <w:gridSpan w:val="2"/>
          </w:tcPr>
          <w:p>
            <w:pPr>
              <w:spacing w:after="0"/>
              <w:rPr>
                <w:sz w:val="20"/>
                <w:szCs w:val="20"/>
                <w:color w:val="auto"/>
              </w:rPr>
            </w:pPr>
            <w:r>
              <w:rPr>
                <w:rFonts w:ascii="Arial" w:cs="Arial" w:eastAsia="Arial" w:hAnsi="Arial"/>
                <w:sz w:val="18"/>
                <w:szCs w:val="18"/>
                <w:color w:val="auto"/>
              </w:rPr>
              <w:t>Labor Hours</w:t>
            </w:r>
          </w:p>
        </w:tc>
        <w:tc>
          <w:tcPr>
            <w:tcW w:w="1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19,484</w:t>
            </w:r>
          </w:p>
        </w:tc>
        <w:tc>
          <w:tcPr>
            <w:tcW w:w="3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16,354</w:t>
            </w:r>
          </w:p>
        </w:tc>
        <w:tc>
          <w:tcPr>
            <w:tcW w:w="3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18,205</w:t>
            </w:r>
          </w:p>
        </w:tc>
      </w:tr>
      <w:tr>
        <w:trPr>
          <w:trHeight w:val="20"/>
        </w:trPr>
        <w:tc>
          <w:tcPr>
            <w:tcW w:w="20" w:type="dxa"/>
            <w:vAlign w:val="bottom"/>
          </w:tcPr>
          <w:p>
            <w:pPr>
              <w:spacing w:after="0" w:line="20" w:lineRule="exact"/>
              <w:rPr>
                <w:sz w:val="1"/>
                <w:szCs w:val="1"/>
                <w:color w:val="auto"/>
              </w:rPr>
            </w:pPr>
          </w:p>
        </w:tc>
        <w:tc>
          <w:tcPr>
            <w:tcW w:w="7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Avg. Labor Cost Rate (excl. Travel)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rPr>
              <w:t>95</w:t>
            </w: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rPr>
              <w:t>85</w:t>
            </w: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70</w:t>
            </w:r>
          </w:p>
        </w:tc>
      </w:tr>
      <w:tr>
        <w:trPr>
          <w:trHeight w:val="20"/>
        </w:trPr>
        <w:tc>
          <w:tcPr>
            <w:tcW w:w="20" w:type="dxa"/>
            <w:vAlign w:val="bottom"/>
          </w:tcPr>
          <w:p>
            <w:pPr>
              <w:spacing w:after="0" w:line="20" w:lineRule="exact"/>
              <w:rPr>
                <w:sz w:val="1"/>
                <w:szCs w:val="1"/>
                <w:color w:val="auto"/>
              </w:rPr>
            </w:pPr>
          </w:p>
        </w:tc>
        <w:tc>
          <w:tcPr>
            <w:tcW w:w="7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10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Other costs primarily relate to racks, packaging, crating and wiring.</w:t>
      </w:r>
    </w:p>
    <w:p>
      <w:pPr>
        <w:spacing w:after="0" w:line="131" w:lineRule="exact"/>
        <w:rPr>
          <w:sz w:val="20"/>
          <w:szCs w:val="20"/>
          <w:color w:val="auto"/>
        </w:rPr>
      </w:pPr>
    </w:p>
    <w:p>
      <w:pPr>
        <w:ind w:left="220" w:right="460"/>
        <w:spacing w:after="0" w:line="264" w:lineRule="auto"/>
        <w:rPr>
          <w:sz w:val="20"/>
          <w:szCs w:val="20"/>
          <w:color w:val="auto"/>
        </w:rPr>
      </w:pPr>
      <w:r>
        <w:rPr>
          <w:rFonts w:ascii="Arial" w:cs="Arial" w:eastAsia="Arial" w:hAnsi="Arial"/>
          <w:sz w:val="18"/>
          <w:szCs w:val="18"/>
          <w:color w:val="auto"/>
        </w:rPr>
        <w:t>Our standard contractual terms for arrangements accounted for under SOP 81-1 and ARB 45 include multiple milestones with associated customer acceptance over the course of the project. However, the Company believes that the percentage-of-completion accounting method is the most accurate measure of performance over the term of the underlying arrangement.</w:t>
      </w:r>
    </w:p>
    <w:p>
      <w:pPr>
        <w:spacing w:after="0" w:line="87" w:lineRule="exact"/>
        <w:rPr>
          <w:sz w:val="20"/>
          <w:szCs w:val="20"/>
          <w:color w:val="auto"/>
        </w:rPr>
      </w:pPr>
    </w:p>
    <w:p>
      <w:pPr>
        <w:ind w:left="220" w:right="60"/>
        <w:spacing w:after="0" w:line="308" w:lineRule="auto"/>
        <w:rPr>
          <w:sz w:val="20"/>
          <w:szCs w:val="20"/>
          <w:color w:val="auto"/>
        </w:rPr>
      </w:pPr>
      <w:r>
        <w:rPr>
          <w:rFonts w:ascii="Arial" w:cs="Arial" w:eastAsia="Arial" w:hAnsi="Arial"/>
          <w:sz w:val="17"/>
          <w:szCs w:val="17"/>
          <w:color w:val="auto"/>
        </w:rPr>
        <w:t>In accordance with SAB Topic 13, as these transactions are within the scope of specific authoritative literature that provides revenue recognition guidance, they are being accounted for by the Company in accordance with those standards, not SAB Topic 13.A.3.b and 13.A.3.c.</w:t>
      </w:r>
    </w:p>
    <w:p>
      <w:pPr>
        <w:spacing w:after="0" w:line="52" w:lineRule="exact"/>
        <w:rPr>
          <w:sz w:val="20"/>
          <w:szCs w:val="20"/>
          <w:color w:val="auto"/>
        </w:rPr>
      </w:pPr>
    </w:p>
    <w:p>
      <w:pPr>
        <w:jc w:val="both"/>
        <w:ind w:left="220" w:right="120"/>
        <w:spacing w:after="0" w:line="286" w:lineRule="auto"/>
        <w:rPr>
          <w:sz w:val="20"/>
          <w:szCs w:val="20"/>
          <w:color w:val="auto"/>
        </w:rPr>
      </w:pPr>
      <w:r>
        <w:rPr>
          <w:rFonts w:ascii="Arial" w:cs="Arial" w:eastAsia="Arial" w:hAnsi="Arial"/>
          <w:sz w:val="17"/>
          <w:szCs w:val="17"/>
          <w:color w:val="auto"/>
        </w:rPr>
        <w:t>We track labor costs in our financial system based on labor hours at the labor rates effective for the respective contractual arrangement. These labor rates vary by geographic location and the level of staff performing the labor. The terms of our arrangement with the customer on these solution sales accounted for under the percentage-of-completion method do not provide for hourly labor billing rates. Instead, the amount of 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369570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type w:val="continuous"/>
        </w:sectPr>
      </w:pPr>
    </w:p>
    <w:bookmarkStart w:id="4" w:name="page5"/>
    <w:bookmarkEnd w:id="4"/>
    <w:p>
      <w:pPr>
        <w:spacing w:after="0"/>
        <w:rPr>
          <w:sz w:val="20"/>
          <w:szCs w:val="20"/>
          <w:color w:val="auto"/>
        </w:rPr>
      </w:pPr>
      <w:r>
        <w:rPr>
          <w:rFonts w:ascii="Arial" w:cs="Arial" w:eastAsia="Arial" w:hAnsi="Arial"/>
          <w:sz w:val="18"/>
          <w:szCs w:val="18"/>
          <w:color w:val="auto"/>
        </w:rPr>
        <w:t>Larry Spirgel, Assistant Director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U. S. Securities and Exchange Commission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June 14, 2007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4 of 5</w:t>
      </w:r>
    </w:p>
    <w:p>
      <w:pPr>
        <w:spacing w:after="0" w:line="103" w:lineRule="exact"/>
        <w:rPr>
          <w:sz w:val="20"/>
          <w:szCs w:val="20"/>
          <w:color w:val="auto"/>
        </w:rPr>
      </w:pPr>
    </w:p>
    <w:p>
      <w:pPr>
        <w:ind w:left="260" w:right="320"/>
        <w:spacing w:after="0" w:line="277" w:lineRule="auto"/>
        <w:rPr>
          <w:sz w:val="20"/>
          <w:szCs w:val="20"/>
          <w:color w:val="auto"/>
        </w:rPr>
      </w:pPr>
      <w:r>
        <w:rPr>
          <w:rFonts w:ascii="Arial" w:cs="Arial" w:eastAsia="Arial" w:hAnsi="Arial"/>
          <w:sz w:val="18"/>
          <w:szCs w:val="18"/>
          <w:color w:val="auto"/>
        </w:rPr>
        <w:t>labor to be invoiced is negotiated as a part of the overall contractual arrangement. As such, we have provided detailed information related to labor cost rates as opposed to labor billing rates.</w:t>
      </w:r>
    </w:p>
    <w:p>
      <w:pPr>
        <w:spacing w:after="0" w:line="76" w:lineRule="exact"/>
        <w:rPr>
          <w:sz w:val="20"/>
          <w:szCs w:val="20"/>
          <w:color w:val="auto"/>
        </w:rPr>
      </w:pPr>
    </w:p>
    <w:p>
      <w:pPr>
        <w:ind w:left="260"/>
        <w:spacing w:after="0"/>
        <w:rPr>
          <w:sz w:val="20"/>
          <w:szCs w:val="20"/>
          <w:color w:val="auto"/>
        </w:rPr>
      </w:pPr>
      <w:r>
        <w:rPr>
          <w:rFonts w:ascii="Arial" w:cs="Arial" w:eastAsia="Arial" w:hAnsi="Arial"/>
          <w:sz w:val="18"/>
          <w:szCs w:val="18"/>
          <w:color w:val="auto"/>
        </w:rPr>
        <w:t>We will expand our disclosure of our accounting policy in future filings.</w:t>
      </w:r>
    </w:p>
    <w:p>
      <w:pPr>
        <w:spacing w:after="0" w:line="131" w:lineRule="exact"/>
        <w:rPr>
          <w:sz w:val="20"/>
          <w:szCs w:val="20"/>
          <w:color w:val="auto"/>
        </w:rPr>
      </w:pPr>
    </w:p>
    <w:p>
      <w:pPr>
        <w:ind w:left="260" w:right="80" w:hanging="252"/>
        <w:spacing w:after="0" w:line="264" w:lineRule="auto"/>
        <w:tabs>
          <w:tab w:leader="none" w:pos="2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Please refer to prior comment 3. We note that you qualify your response with the phrase “...in all circumstances in which it is available...” Please tell us how your VSOE for agreements where revenue is recognized under EITF 00-21 meets the criteria for VSOE in paragraph 10 of SOP 97-2 when the VSOE of fair value is not available. Please quantify these exceptions for the periods presented.</w:t>
      </w:r>
    </w:p>
    <w:p>
      <w:pPr>
        <w:spacing w:after="0" w:line="86" w:lineRule="exact"/>
        <w:rPr>
          <w:rFonts w:ascii="Arial" w:cs="Arial" w:eastAsia="Arial" w:hAnsi="Arial"/>
          <w:sz w:val="18"/>
          <w:szCs w:val="18"/>
          <w:color w:val="auto"/>
        </w:rPr>
      </w:pPr>
    </w:p>
    <w:p>
      <w:pPr>
        <w:ind w:left="260" w:right="160"/>
        <w:spacing w:after="0" w:line="259" w:lineRule="auto"/>
        <w:rPr>
          <w:rFonts w:ascii="Arial" w:cs="Arial" w:eastAsia="Arial" w:hAnsi="Arial"/>
          <w:sz w:val="18"/>
          <w:szCs w:val="18"/>
          <w:color w:val="auto"/>
        </w:rPr>
      </w:pPr>
      <w:r>
        <w:rPr>
          <w:rFonts w:ascii="Arial" w:cs="Arial" w:eastAsia="Arial" w:hAnsi="Arial"/>
          <w:sz w:val="18"/>
          <w:szCs w:val="18"/>
          <w:color w:val="auto"/>
        </w:rPr>
        <w:t>The Company respectfully advises the staff that it will hereby clarify its response to prior comment 3. In agreements where revenue is recognized under EITF 00-21 and for which VSOE of fair value established in accordance with paragraph 10 of SOP 97-2 is not available for all undelivered elements, we defer the recognition of all revenue under the agreement until all elements of the arrangement have been delivered or VSOE of fair value in accordance with paragraph 10 of SOP 97-2 has been established.</w:t>
      </w:r>
    </w:p>
    <w:p>
      <w:pPr>
        <w:spacing w:after="0" w:line="92" w:lineRule="exact"/>
        <w:rPr>
          <w:rFonts w:ascii="Arial" w:cs="Arial" w:eastAsia="Arial" w:hAnsi="Arial"/>
          <w:sz w:val="18"/>
          <w:szCs w:val="18"/>
          <w:color w:val="auto"/>
        </w:rPr>
      </w:pPr>
    </w:p>
    <w:p>
      <w:pPr>
        <w:ind w:left="260" w:right="200"/>
        <w:spacing w:after="0" w:line="277" w:lineRule="auto"/>
        <w:rPr>
          <w:rFonts w:ascii="Arial" w:cs="Arial" w:eastAsia="Arial" w:hAnsi="Arial"/>
          <w:sz w:val="18"/>
          <w:szCs w:val="18"/>
          <w:color w:val="auto"/>
        </w:rPr>
      </w:pPr>
      <w:r>
        <w:rPr>
          <w:rFonts w:ascii="Arial" w:cs="Arial" w:eastAsia="Arial" w:hAnsi="Arial"/>
          <w:sz w:val="18"/>
          <w:szCs w:val="18"/>
          <w:color w:val="auto"/>
        </w:rPr>
        <w:t>For the periods presented, the amount of revenue deferred at each balance sheet date, due to undelivered elements for which VSOE of fair value was not available was as follows: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480" w:type="dxa"/>
            <w:vAlign w:val="bottom"/>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As of December 31,</w:t>
            </w:r>
          </w:p>
        </w:tc>
        <w:tc>
          <w:tcPr>
            <w:tcW w:w="1140" w:type="dxa"/>
            <w:vAlign w:val="bottom"/>
            <w:tcBorders>
              <w:bottom w:val="single" w:sz="8" w:color="auto"/>
            </w:tcBorders>
          </w:tcPr>
          <w:p>
            <w:pPr>
              <w:spacing w:after="0"/>
              <w:rPr>
                <w:sz w:val="14"/>
                <w:szCs w:val="14"/>
                <w:color w:val="auto"/>
              </w:rPr>
            </w:pPr>
          </w:p>
        </w:tc>
      </w:tr>
      <w:tr>
        <w:trPr>
          <w:trHeight w:val="128"/>
        </w:trPr>
        <w:tc>
          <w:tcPr>
            <w:tcW w:w="7480" w:type="dxa"/>
            <w:vAlign w:val="bottom"/>
          </w:tcPr>
          <w:p>
            <w:pPr>
              <w:spacing w:after="0"/>
              <w:rPr>
                <w:sz w:val="11"/>
                <w:szCs w:val="11"/>
                <w:color w:val="auto"/>
              </w:rPr>
            </w:pPr>
          </w:p>
        </w:tc>
        <w:tc>
          <w:tcPr>
            <w:tcW w:w="1120" w:type="dxa"/>
            <w:vAlign w:val="bottom"/>
          </w:tcPr>
          <w:p>
            <w:pPr>
              <w:jc w:val="right"/>
              <w:ind w:right="419"/>
              <w:spacing w:after="0" w:line="128" w:lineRule="exact"/>
              <w:rPr>
                <w:sz w:val="20"/>
                <w:szCs w:val="20"/>
                <w:color w:val="auto"/>
              </w:rPr>
            </w:pPr>
            <w:r>
              <w:rPr>
                <w:rFonts w:ascii="Arial" w:cs="Arial" w:eastAsia="Arial" w:hAnsi="Arial"/>
                <w:sz w:val="14"/>
                <w:szCs w:val="14"/>
                <w:b w:val="1"/>
                <w:bCs w:val="1"/>
                <w:color w:val="auto"/>
              </w:rPr>
              <w:t>2004</w:t>
            </w:r>
          </w:p>
        </w:tc>
        <w:tc>
          <w:tcPr>
            <w:tcW w:w="1680" w:type="dxa"/>
            <w:vAlign w:val="bottom"/>
          </w:tcPr>
          <w:p>
            <w:pPr>
              <w:jc w:val="right"/>
              <w:ind w:right="602"/>
              <w:spacing w:after="0" w:line="128" w:lineRule="exact"/>
              <w:rPr>
                <w:sz w:val="20"/>
                <w:szCs w:val="20"/>
                <w:color w:val="auto"/>
              </w:rPr>
            </w:pPr>
            <w:r>
              <w:rPr>
                <w:rFonts w:ascii="Arial" w:cs="Arial" w:eastAsia="Arial" w:hAnsi="Arial"/>
                <w:sz w:val="14"/>
                <w:szCs w:val="14"/>
                <w:b w:val="1"/>
                <w:bCs w:val="1"/>
                <w:color w:val="auto"/>
              </w:rPr>
              <w:t>2005</w:t>
            </w:r>
          </w:p>
        </w:tc>
        <w:tc>
          <w:tcPr>
            <w:tcW w:w="1140" w:type="dxa"/>
            <w:vAlign w:val="bottom"/>
          </w:tcPr>
          <w:p>
            <w:pPr>
              <w:jc w:val="right"/>
              <w:ind w:right="239"/>
              <w:spacing w:after="0" w:line="128" w:lineRule="exact"/>
              <w:rPr>
                <w:sz w:val="20"/>
                <w:szCs w:val="20"/>
                <w:color w:val="auto"/>
              </w:rPr>
            </w:pPr>
            <w:r>
              <w:rPr>
                <w:rFonts w:ascii="Arial" w:cs="Arial" w:eastAsia="Arial" w:hAnsi="Arial"/>
                <w:sz w:val="14"/>
                <w:szCs w:val="14"/>
                <w:b w:val="1"/>
                <w:bCs w:val="1"/>
                <w:color w:val="auto"/>
              </w:rPr>
              <w:t>2006</w:t>
            </w:r>
          </w:p>
        </w:tc>
      </w:tr>
      <w:tr>
        <w:trPr>
          <w:trHeight w:val="230"/>
        </w:trPr>
        <w:tc>
          <w:tcPr>
            <w:tcW w:w="7480" w:type="dxa"/>
            <w:vAlign w:val="bottom"/>
          </w:tcPr>
          <w:p>
            <w:pPr>
              <w:spacing w:after="0"/>
              <w:rPr>
                <w:sz w:val="20"/>
                <w:szCs w:val="20"/>
                <w:color w:val="auto"/>
              </w:rPr>
            </w:pPr>
            <w:r>
              <w:rPr>
                <w:rFonts w:ascii="Arial" w:cs="Arial" w:eastAsia="Arial" w:hAnsi="Arial"/>
                <w:sz w:val="18"/>
                <w:szCs w:val="18"/>
                <w:color w:val="auto"/>
              </w:rPr>
              <w:t>Deferred Revenue</w:t>
            </w:r>
          </w:p>
        </w:tc>
        <w:tc>
          <w:tcPr>
            <w:tcW w:w="1120" w:type="dxa"/>
            <w:vAlign w:val="bottom"/>
            <w:tcBorders>
              <w:bottom w:val="single" w:sz="8" w:color="auto"/>
            </w:tcBorders>
          </w:tcPr>
          <w:p>
            <w:pPr>
              <w:jc w:val="right"/>
              <w:ind w:right="199"/>
              <w:spacing w:after="0"/>
              <w:rPr>
                <w:sz w:val="20"/>
                <w:szCs w:val="20"/>
                <w:color w:val="auto"/>
              </w:rPr>
            </w:pPr>
            <w:r>
              <w:rPr>
                <w:rFonts w:ascii="Arial" w:cs="Arial" w:eastAsia="Arial" w:hAnsi="Arial"/>
                <w:sz w:val="18"/>
                <w:szCs w:val="18"/>
                <w:color w:val="auto"/>
                <w:w w:val="90"/>
              </w:rPr>
              <w:t>$5,487,989</w:t>
            </w:r>
          </w:p>
        </w:tc>
        <w:tc>
          <w:tcPr>
            <w:tcW w:w="1680" w:type="dxa"/>
            <w:vAlign w:val="bottom"/>
            <w:tcBorders>
              <w:bottom w:val="single" w:sz="8" w:color="auto"/>
            </w:tcBorders>
          </w:tcPr>
          <w:p>
            <w:pPr>
              <w:jc w:val="right"/>
              <w:ind w:right="382"/>
              <w:spacing w:after="0"/>
              <w:rPr>
                <w:sz w:val="20"/>
                <w:szCs w:val="20"/>
                <w:color w:val="auto"/>
              </w:rPr>
            </w:pPr>
            <w:r>
              <w:rPr>
                <w:rFonts w:ascii="Arial" w:cs="Arial" w:eastAsia="Arial" w:hAnsi="Arial"/>
                <w:sz w:val="18"/>
                <w:szCs w:val="18"/>
                <w:color w:val="auto"/>
              </w:rPr>
              <w:t>$3,121,232</w:t>
            </w: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8"/>
                <w:szCs w:val="18"/>
                <w:color w:val="auto"/>
              </w:rPr>
              <w:t>$6,229,061</w:t>
            </w:r>
          </w:p>
        </w:tc>
      </w:tr>
      <w:tr>
        <w:trPr>
          <w:trHeight w:val="20"/>
        </w:trPr>
        <w:tc>
          <w:tcPr>
            <w:tcW w:w="74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07" w:lineRule="exact"/>
        <w:rPr>
          <w:sz w:val="20"/>
          <w:szCs w:val="20"/>
          <w:color w:val="auto"/>
        </w:rPr>
      </w:pPr>
    </w:p>
    <w:p>
      <w:pPr>
        <w:ind w:left="260" w:right="80" w:hanging="252"/>
        <w:spacing w:after="0" w:line="264" w:lineRule="auto"/>
        <w:tabs>
          <w:tab w:leader="none" w:pos="26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Please refer to prior comment 4. Tell us why you accepted the returns from your distributors and systems integrators if you do not offer return rights. Please quantify the dollar amount of returns. We note your statement that these returns are less than 2% of distributor and system integrator sales. Please expand your disclosure in future filings to include the response to comment 4.</w:t>
      </w:r>
    </w:p>
    <w:p>
      <w:pPr>
        <w:spacing w:after="0" w:line="86" w:lineRule="exact"/>
        <w:rPr>
          <w:rFonts w:ascii="Arial" w:cs="Arial" w:eastAsia="Arial" w:hAnsi="Arial"/>
          <w:sz w:val="18"/>
          <w:szCs w:val="18"/>
          <w:color w:val="auto"/>
        </w:rPr>
      </w:pPr>
    </w:p>
    <w:p>
      <w:pPr>
        <w:ind w:left="260" w:right="20"/>
        <w:spacing w:after="0" w:line="276" w:lineRule="auto"/>
        <w:rPr>
          <w:rFonts w:ascii="Arial" w:cs="Arial" w:eastAsia="Arial" w:hAnsi="Arial"/>
          <w:sz w:val="18"/>
          <w:szCs w:val="18"/>
          <w:color w:val="auto"/>
        </w:rPr>
      </w:pPr>
      <w:r>
        <w:rPr>
          <w:rFonts w:ascii="Arial" w:cs="Arial" w:eastAsia="Arial" w:hAnsi="Arial"/>
          <w:sz w:val="17"/>
          <w:szCs w:val="17"/>
          <w:color w:val="auto"/>
        </w:rPr>
        <w:t>Further to our response in our letter to the Staff dated May 4 on prior comment 4, we do have instances of accepting returns from resellers and system integrators. Such returns are made solely at the discretion of the Company as our agreements with resellers and system integrators do not allow for stock rotation or return rights. Our resellers and systems integrators purchase our products for specific capital equipment projects of the end user and do not hold inventory. As such, we accept returns typically in instances where the reseller has designed a component into a project for the end user but the reseller/integrator requests to return products which did not meet the specific project’s functional requirements.</w:t>
      </w:r>
    </w:p>
    <w:p>
      <w:pPr>
        <w:spacing w:after="0" w:line="77" w:lineRule="exact"/>
        <w:rPr>
          <w:rFonts w:ascii="Arial" w:cs="Arial" w:eastAsia="Arial" w:hAnsi="Arial"/>
          <w:sz w:val="18"/>
          <w:szCs w:val="18"/>
          <w:color w:val="auto"/>
        </w:rPr>
      </w:pPr>
    </w:p>
    <w:p>
      <w:pPr>
        <w:ind w:left="260"/>
        <w:spacing w:after="0"/>
        <w:rPr>
          <w:rFonts w:ascii="Arial" w:cs="Arial" w:eastAsia="Arial" w:hAnsi="Arial"/>
          <w:sz w:val="18"/>
          <w:szCs w:val="18"/>
          <w:color w:val="auto"/>
        </w:rPr>
      </w:pPr>
      <w:r>
        <w:rPr>
          <w:rFonts w:ascii="Arial" w:cs="Arial" w:eastAsia="Arial" w:hAnsi="Arial"/>
          <w:sz w:val="18"/>
          <w:szCs w:val="18"/>
          <w:color w:val="auto"/>
        </w:rPr>
        <w:t>As the following table illustrates, these amounts were not material to the Company’s financial results for the periods presented: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1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Reseller &amp; Systems Integrator</w:t>
            </w: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21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2"/>
              </w:rPr>
              <w:t>For the Year ended December 31,</w:t>
            </w: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716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jc w:val="right"/>
              <w:ind w:right="314"/>
              <w:spacing w:after="0"/>
              <w:rPr>
                <w:sz w:val="20"/>
                <w:szCs w:val="20"/>
                <w:color w:val="auto"/>
              </w:rPr>
            </w:pPr>
            <w:r>
              <w:rPr>
                <w:rFonts w:ascii="Arial" w:cs="Arial" w:eastAsia="Arial" w:hAnsi="Arial"/>
                <w:sz w:val="14"/>
                <w:szCs w:val="14"/>
                <w:b w:val="1"/>
                <w:bCs w:val="1"/>
                <w:color w:val="auto"/>
              </w:rPr>
              <w:t>2004</w:t>
            </w:r>
          </w:p>
        </w:tc>
        <w:tc>
          <w:tcPr>
            <w:tcW w:w="620" w:type="dxa"/>
            <w:vAlign w:val="bottom"/>
          </w:tcPr>
          <w:p>
            <w:pPr>
              <w:spacing w:after="0"/>
              <w:rPr>
                <w:sz w:val="15"/>
                <w:szCs w:val="15"/>
                <w:color w:val="auto"/>
              </w:rPr>
            </w:pPr>
          </w:p>
        </w:tc>
        <w:tc>
          <w:tcPr>
            <w:tcW w:w="1480" w:type="dxa"/>
            <w:vAlign w:val="bottom"/>
          </w:tcPr>
          <w:p>
            <w:pPr>
              <w:jc w:val="right"/>
              <w:ind w:right="814"/>
              <w:spacing w:after="0"/>
              <w:rPr>
                <w:sz w:val="20"/>
                <w:szCs w:val="20"/>
                <w:color w:val="auto"/>
              </w:rPr>
            </w:pPr>
            <w:r>
              <w:rPr>
                <w:rFonts w:ascii="Arial" w:cs="Arial" w:eastAsia="Arial" w:hAnsi="Arial"/>
                <w:sz w:val="14"/>
                <w:szCs w:val="14"/>
                <w:b w:val="1"/>
                <w:bCs w:val="1"/>
                <w:color w:val="auto"/>
              </w:rPr>
              <w:t>2005</w:t>
            </w:r>
          </w:p>
        </w:tc>
        <w:tc>
          <w:tcPr>
            <w:tcW w:w="100" w:type="dxa"/>
            <w:vAlign w:val="bottom"/>
          </w:tcPr>
          <w:p>
            <w:pPr>
              <w:spacing w:after="0"/>
              <w:rPr>
                <w:sz w:val="15"/>
                <w:szCs w:val="15"/>
                <w:color w:val="auto"/>
              </w:rPr>
            </w:pPr>
          </w:p>
        </w:tc>
        <w:tc>
          <w:tcPr>
            <w:tcW w:w="980" w:type="dxa"/>
            <w:vAlign w:val="bottom"/>
          </w:tcPr>
          <w:p>
            <w:pPr>
              <w:jc w:val="right"/>
              <w:ind w:right="314"/>
              <w:spacing w:after="0"/>
              <w:rPr>
                <w:sz w:val="20"/>
                <w:szCs w:val="20"/>
                <w:color w:val="auto"/>
              </w:rPr>
            </w:pPr>
            <w:r>
              <w:rPr>
                <w:rFonts w:ascii="Arial" w:cs="Arial" w:eastAsia="Arial" w:hAnsi="Arial"/>
                <w:sz w:val="14"/>
                <w:szCs w:val="14"/>
                <w:b w:val="1"/>
                <w:bCs w:val="1"/>
                <w:color w:val="auto"/>
              </w:rPr>
              <w:t>2006</w:t>
            </w:r>
          </w:p>
        </w:tc>
        <w:tc>
          <w:tcPr>
            <w:tcW w:w="0" w:type="dxa"/>
            <w:vAlign w:val="bottom"/>
          </w:tcPr>
          <w:p>
            <w:pPr>
              <w:spacing w:after="0"/>
              <w:rPr>
                <w:sz w:val="1"/>
                <w:szCs w:val="1"/>
                <w:color w:val="auto"/>
              </w:rPr>
            </w:pPr>
          </w:p>
        </w:tc>
      </w:tr>
      <w:tr>
        <w:trPr>
          <w:trHeight w:val="178"/>
        </w:trPr>
        <w:tc>
          <w:tcPr>
            <w:tcW w:w="20" w:type="dxa"/>
            <w:vAlign w:val="bottom"/>
            <w:vMerge w:val="restart"/>
          </w:tcPr>
          <w:p>
            <w:pPr>
              <w:spacing w:after="0"/>
              <w:rPr>
                <w:sz w:val="15"/>
                <w:szCs w:val="15"/>
                <w:color w:val="auto"/>
              </w:rPr>
            </w:pPr>
          </w:p>
        </w:tc>
        <w:tc>
          <w:tcPr>
            <w:tcW w:w="7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Product returns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315,857</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ind w:right="594"/>
              <w:spacing w:after="0"/>
              <w:rPr>
                <w:sz w:val="20"/>
                <w:szCs w:val="20"/>
                <w:color w:val="auto"/>
              </w:rPr>
            </w:pPr>
            <w:r>
              <w:rPr>
                <w:rFonts w:ascii="Arial" w:cs="Arial" w:eastAsia="Arial" w:hAnsi="Arial"/>
                <w:sz w:val="18"/>
                <w:szCs w:val="18"/>
                <w:color w:val="auto"/>
              </w:rPr>
              <w:t>394,382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292,551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spacing w:after="0"/>
              <w:rPr>
                <w:sz w:val="20"/>
                <w:szCs w:val="20"/>
                <w:color w:val="auto"/>
              </w:rPr>
            </w:pPr>
            <w:r>
              <w:rPr>
                <w:rFonts w:ascii="Arial" w:cs="Arial" w:eastAsia="Arial" w:hAnsi="Arial"/>
                <w:sz w:val="18"/>
                <w:szCs w:val="18"/>
                <w:color w:val="auto"/>
              </w:rPr>
              <w:t>Revenue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74"/>
              <w:spacing w:after="0"/>
              <w:rPr>
                <w:sz w:val="20"/>
                <w:szCs w:val="20"/>
                <w:color w:val="auto"/>
              </w:rPr>
            </w:pPr>
            <w:r>
              <w:rPr>
                <w:rFonts w:ascii="Arial" w:cs="Arial" w:eastAsia="Arial" w:hAnsi="Arial"/>
                <w:sz w:val="18"/>
                <w:szCs w:val="18"/>
                <w:color w:val="auto"/>
                <w:w w:val="88"/>
              </w:rPr>
              <w:t>40,580,170</w:t>
            </w: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594"/>
              <w:spacing w:after="0"/>
              <w:rPr>
                <w:sz w:val="20"/>
                <w:szCs w:val="20"/>
                <w:color w:val="auto"/>
              </w:rPr>
            </w:pPr>
            <w:r>
              <w:rPr>
                <w:rFonts w:ascii="Arial" w:cs="Arial" w:eastAsia="Arial" w:hAnsi="Arial"/>
                <w:sz w:val="18"/>
                <w:szCs w:val="18"/>
                <w:color w:val="auto"/>
                <w:w w:val="86"/>
              </w:rPr>
              <w:t>55,622,138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74"/>
              <w:spacing w:after="0"/>
              <w:rPr>
                <w:sz w:val="20"/>
                <w:szCs w:val="20"/>
                <w:color w:val="auto"/>
              </w:rPr>
            </w:pPr>
            <w:r>
              <w:rPr>
                <w:rFonts w:ascii="Arial" w:cs="Arial" w:eastAsia="Arial" w:hAnsi="Arial"/>
                <w:sz w:val="18"/>
                <w:szCs w:val="18"/>
                <w:color w:val="auto"/>
                <w:w w:val="88"/>
              </w:rPr>
              <w:t>49,028,780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 of Reseller/Integrator Revenue</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0.78%</w:t>
            </w:r>
          </w:p>
        </w:tc>
        <w:tc>
          <w:tcPr>
            <w:tcW w:w="62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434"/>
              <w:spacing w:after="0"/>
              <w:rPr>
                <w:sz w:val="20"/>
                <w:szCs w:val="20"/>
                <w:color w:val="auto"/>
              </w:rPr>
            </w:pPr>
            <w:r>
              <w:rPr>
                <w:rFonts w:ascii="Arial" w:cs="Arial" w:eastAsia="Arial" w:hAnsi="Arial"/>
                <w:sz w:val="18"/>
                <w:szCs w:val="18"/>
                <w:i w:val="1"/>
                <w:iCs w:val="1"/>
                <w:color w:val="auto"/>
              </w:rPr>
              <w:t>0.71%</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0.60%</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We will expand our disclosure in future filings.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407035</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color w:val="auto"/>
        </w:rPr>
        <w:t>Larry Spirgel, Assistant Director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U. S. Securities and Exchange Commission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June 14, 2007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5 of 5</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Form 10-Q for March 31, 2007</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Condensed Consolidated Financial Statements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Note 10: Income Taxes, page 14</w:t>
      </w:r>
    </w:p>
    <w:p>
      <w:pPr>
        <w:spacing w:after="0" w:line="117" w:lineRule="exact"/>
        <w:rPr>
          <w:sz w:val="20"/>
          <w:szCs w:val="20"/>
          <w:color w:val="auto"/>
        </w:rPr>
      </w:pPr>
    </w:p>
    <w:p>
      <w:pPr>
        <w:ind w:left="260" w:right="220" w:hanging="252"/>
        <w:spacing w:after="0" w:line="277" w:lineRule="auto"/>
        <w:tabs>
          <w:tab w:leader="none" w:pos="26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You state that you took a charge of $2.1 million to retained earnings upon adoption of FIN 48. Tell us in detail about the nature of the charge and why it was required under FIN 48 but not under the prior accounting literature.</w:t>
      </w:r>
    </w:p>
    <w:p>
      <w:pPr>
        <w:spacing w:after="0" w:line="75" w:lineRule="exact"/>
        <w:rPr>
          <w:rFonts w:ascii="Arial" w:cs="Arial" w:eastAsia="Arial" w:hAnsi="Arial"/>
          <w:sz w:val="18"/>
          <w:szCs w:val="18"/>
          <w:color w:val="auto"/>
        </w:rPr>
      </w:pPr>
    </w:p>
    <w:p>
      <w:pPr>
        <w:ind w:left="260" w:right="600"/>
        <w:spacing w:after="0" w:line="264" w:lineRule="auto"/>
        <w:rPr>
          <w:rFonts w:ascii="Arial" w:cs="Arial" w:eastAsia="Arial" w:hAnsi="Arial"/>
          <w:sz w:val="18"/>
          <w:szCs w:val="18"/>
          <w:color w:val="auto"/>
        </w:rPr>
      </w:pPr>
      <w:r>
        <w:rPr>
          <w:rFonts w:ascii="Arial" w:cs="Arial" w:eastAsia="Arial" w:hAnsi="Arial"/>
          <w:sz w:val="18"/>
          <w:szCs w:val="18"/>
          <w:color w:val="auto"/>
        </w:rPr>
        <w:t>For years prior to the adoption of FIN 48, tax contingency accruals were determined by using the Company’s best estimates in calculating a comprehensive settlement amount for each taxing jurisdiction for each open tax year. These amounts represented the Company’s assessment of the ultimate settlement payment.</w:t>
      </w:r>
    </w:p>
    <w:p>
      <w:pPr>
        <w:spacing w:after="0" w:line="86" w:lineRule="exact"/>
        <w:rPr>
          <w:rFonts w:ascii="Arial" w:cs="Arial" w:eastAsia="Arial" w:hAnsi="Arial"/>
          <w:sz w:val="18"/>
          <w:szCs w:val="18"/>
          <w:color w:val="auto"/>
        </w:rPr>
      </w:pPr>
    </w:p>
    <w:p>
      <w:pPr>
        <w:ind w:left="260" w:right="240"/>
        <w:spacing w:after="0" w:line="259" w:lineRule="auto"/>
        <w:rPr>
          <w:rFonts w:ascii="Arial" w:cs="Arial" w:eastAsia="Arial" w:hAnsi="Arial"/>
          <w:sz w:val="18"/>
          <w:szCs w:val="18"/>
          <w:color w:val="auto"/>
        </w:rPr>
      </w:pPr>
      <w:r>
        <w:rPr>
          <w:rFonts w:ascii="Arial" w:cs="Arial" w:eastAsia="Arial" w:hAnsi="Arial"/>
          <w:sz w:val="18"/>
          <w:szCs w:val="18"/>
          <w:color w:val="auto"/>
        </w:rPr>
        <w:t>As a result of the adoption of FIN 48, the Company refined its computation of its accruals for uncertain tax positions for all open tax years. In assessing the magnitude of such liabilities, the Company determined that in accordance with paragraph 15 of FIN 48, additional interest and penalties should be accrued. Based on this and other guidance in FIN 48, the Company recorded a cumulative adjustment upon adoption of FIN 48 through December 31, 2006, of $2.1 million as shown below by tax year.</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020" w:type="dxa"/>
            <w:vAlign w:val="bottom"/>
            <w:gridSpan w:val="2"/>
          </w:tcPr>
          <w:p>
            <w:pPr>
              <w:spacing w:after="0"/>
              <w:rPr>
                <w:sz w:val="20"/>
                <w:szCs w:val="20"/>
                <w:color w:val="auto"/>
              </w:rPr>
            </w:pPr>
            <w:r>
              <w:rPr>
                <w:rFonts w:ascii="Arial" w:cs="Arial" w:eastAsia="Arial" w:hAnsi="Arial"/>
                <w:sz w:val="14"/>
                <w:szCs w:val="14"/>
                <w:b w:val="1"/>
                <w:bCs w:val="1"/>
                <w:color w:val="auto"/>
              </w:rPr>
              <w:t>000’s USD</w:t>
            </w:r>
          </w:p>
        </w:tc>
        <w:tc>
          <w:tcPr>
            <w:tcW w:w="5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1380" w:type="dxa"/>
            <w:vAlign w:val="bottom"/>
            <w:gridSpan w:val="2"/>
          </w:tcPr>
          <w:p>
            <w:pPr>
              <w:jc w:val="center"/>
              <w:ind w:right="800"/>
              <w:spacing w:after="0"/>
              <w:rPr>
                <w:sz w:val="20"/>
                <w:szCs w:val="20"/>
                <w:color w:val="auto"/>
              </w:rPr>
            </w:pPr>
            <w:r>
              <w:rPr>
                <w:rFonts w:ascii="Arial" w:cs="Arial" w:eastAsia="Arial" w:hAnsi="Arial"/>
                <w:sz w:val="14"/>
                <w:szCs w:val="14"/>
                <w:color w:val="auto"/>
              </w:rPr>
              <w:t>Prior</w:t>
            </w:r>
          </w:p>
        </w:tc>
        <w:tc>
          <w:tcPr>
            <w:tcW w:w="1340" w:type="dxa"/>
            <w:vAlign w:val="bottom"/>
            <w:gridSpan w:val="2"/>
          </w:tcPr>
          <w:p>
            <w:pPr>
              <w:jc w:val="right"/>
              <w:ind w:right="860"/>
              <w:spacing w:after="0"/>
              <w:rPr>
                <w:sz w:val="20"/>
                <w:szCs w:val="20"/>
                <w:color w:val="auto"/>
              </w:rPr>
            </w:pPr>
            <w:r>
              <w:rPr>
                <w:rFonts w:ascii="Arial" w:cs="Arial" w:eastAsia="Arial" w:hAnsi="Arial"/>
                <w:sz w:val="14"/>
                <w:szCs w:val="14"/>
                <w:color w:val="auto"/>
              </w:rPr>
              <w:t>FIN 48</w:t>
            </w: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8020" w:type="dxa"/>
            <w:vAlign w:val="bottom"/>
            <w:gridSpan w:val="2"/>
          </w:tcPr>
          <w:p>
            <w:pPr>
              <w:spacing w:after="0"/>
              <w:rPr>
                <w:sz w:val="20"/>
                <w:szCs w:val="20"/>
                <w:color w:val="auto"/>
              </w:rPr>
            </w:pPr>
            <w:r>
              <w:rPr>
                <w:rFonts w:ascii="Arial" w:cs="Arial" w:eastAsia="Arial" w:hAnsi="Arial"/>
                <w:sz w:val="14"/>
                <w:szCs w:val="14"/>
                <w:color w:val="auto"/>
              </w:rPr>
              <w:t>Year</w:t>
            </w:r>
          </w:p>
        </w:tc>
        <w:tc>
          <w:tcPr>
            <w:tcW w:w="1380" w:type="dxa"/>
            <w:vAlign w:val="bottom"/>
            <w:gridSpan w:val="2"/>
          </w:tcPr>
          <w:p>
            <w:pPr>
              <w:jc w:val="center"/>
              <w:ind w:right="800"/>
              <w:spacing w:after="0"/>
              <w:rPr>
                <w:sz w:val="20"/>
                <w:szCs w:val="20"/>
                <w:color w:val="auto"/>
              </w:rPr>
            </w:pPr>
            <w:r>
              <w:rPr>
                <w:rFonts w:ascii="Arial" w:cs="Arial" w:eastAsia="Arial" w:hAnsi="Arial"/>
                <w:sz w:val="14"/>
                <w:szCs w:val="14"/>
                <w:color w:val="auto"/>
                <w:w w:val="98"/>
              </w:rPr>
              <w:t>Accrual</w:t>
            </w:r>
          </w:p>
        </w:tc>
        <w:tc>
          <w:tcPr>
            <w:tcW w:w="1340" w:type="dxa"/>
            <w:vAlign w:val="bottom"/>
            <w:gridSpan w:val="2"/>
          </w:tcPr>
          <w:p>
            <w:pPr>
              <w:jc w:val="right"/>
              <w:ind w:right="840"/>
              <w:spacing w:after="0"/>
              <w:rPr>
                <w:sz w:val="20"/>
                <w:szCs w:val="20"/>
                <w:color w:val="auto"/>
              </w:rPr>
            </w:pPr>
            <w:r>
              <w:rPr>
                <w:rFonts w:ascii="Arial" w:cs="Arial" w:eastAsia="Arial" w:hAnsi="Arial"/>
                <w:sz w:val="14"/>
                <w:szCs w:val="14"/>
                <w:color w:val="auto"/>
              </w:rPr>
              <w:t>Accrual</w:t>
            </w:r>
          </w:p>
        </w:tc>
        <w:tc>
          <w:tcPr>
            <w:tcW w:w="680" w:type="dxa"/>
            <w:vAlign w:val="bottom"/>
            <w:gridSpan w:val="2"/>
          </w:tcPr>
          <w:p>
            <w:pPr>
              <w:ind w:left="40"/>
              <w:spacing w:after="0"/>
              <w:rPr>
                <w:sz w:val="20"/>
                <w:szCs w:val="20"/>
                <w:color w:val="auto"/>
              </w:rPr>
            </w:pPr>
            <w:r>
              <w:rPr>
                <w:rFonts w:ascii="Arial" w:cs="Arial" w:eastAsia="Arial" w:hAnsi="Arial"/>
                <w:sz w:val="14"/>
                <w:szCs w:val="14"/>
                <w:color w:val="auto"/>
              </w:rPr>
              <w:t>Increase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2001</w:t>
            </w:r>
          </w:p>
        </w:tc>
        <w:tc>
          <w:tcPr>
            <w:tcW w:w="1380" w:type="dxa"/>
            <w:vAlign w:val="bottom"/>
            <w:tcBorders>
              <w:top w:val="single" w:sz="8" w:color="auto"/>
            </w:tcBorders>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1,295</w:t>
            </w:r>
          </w:p>
        </w:tc>
        <w:tc>
          <w:tcPr>
            <w:tcW w:w="1340" w:type="dxa"/>
            <w:vAlign w:val="bottom"/>
            <w:tcBorders>
              <w:top w:val="single" w:sz="8" w:color="auto"/>
            </w:tcBorders>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1,671</w:t>
            </w:r>
          </w:p>
        </w:tc>
        <w:tc>
          <w:tcPr>
            <w:tcW w:w="680" w:type="dxa"/>
            <w:vAlign w:val="bottom"/>
            <w:tcBorders>
              <w:top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tcPr>
          <w:p>
            <w:pPr>
              <w:spacing w:after="0"/>
              <w:rPr>
                <w:sz w:val="20"/>
                <w:szCs w:val="20"/>
                <w:color w:val="auto"/>
              </w:rPr>
            </w:pPr>
            <w:r>
              <w:rPr>
                <w:rFonts w:ascii="Arial" w:cs="Arial" w:eastAsia="Arial" w:hAnsi="Arial"/>
                <w:sz w:val="18"/>
                <w:szCs w:val="18"/>
                <w:color w:val="auto"/>
              </w:rPr>
              <w:t>2002</w:t>
            </w:r>
          </w:p>
        </w:tc>
        <w:tc>
          <w:tcPr>
            <w:tcW w:w="1380" w:type="dxa"/>
            <w:vAlign w:val="bottom"/>
            <w:gridSpan w:val="2"/>
          </w:tcPr>
          <w:p>
            <w:pPr>
              <w:jc w:val="right"/>
              <w:ind w:right="800"/>
              <w:spacing w:after="0"/>
              <w:rPr>
                <w:sz w:val="20"/>
                <w:szCs w:val="20"/>
                <w:color w:val="auto"/>
              </w:rPr>
            </w:pPr>
            <w:r>
              <w:rPr>
                <w:rFonts w:ascii="Arial" w:cs="Arial" w:eastAsia="Arial" w:hAnsi="Arial"/>
                <w:sz w:val="18"/>
                <w:szCs w:val="18"/>
                <w:color w:val="auto"/>
              </w:rPr>
              <w:t>1,372</w:t>
            </w:r>
          </w:p>
        </w:tc>
        <w:tc>
          <w:tcPr>
            <w:tcW w:w="1340" w:type="dxa"/>
            <w:vAlign w:val="bottom"/>
            <w:gridSpan w:val="2"/>
          </w:tcPr>
          <w:p>
            <w:pPr>
              <w:jc w:val="right"/>
              <w:ind w:right="780"/>
              <w:spacing w:after="0"/>
              <w:rPr>
                <w:sz w:val="20"/>
                <w:szCs w:val="20"/>
                <w:color w:val="auto"/>
              </w:rPr>
            </w:pPr>
            <w:r>
              <w:rPr>
                <w:rFonts w:ascii="Arial" w:cs="Arial" w:eastAsia="Arial" w:hAnsi="Arial"/>
                <w:sz w:val="18"/>
                <w:szCs w:val="18"/>
                <w:color w:val="auto"/>
              </w:rPr>
              <w:t>1,908</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536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2003</w:t>
            </w:r>
          </w:p>
        </w:tc>
        <w:tc>
          <w:tcPr>
            <w:tcW w:w="138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1,058</w:t>
            </w:r>
          </w:p>
        </w:tc>
        <w:tc>
          <w:tcPr>
            <w:tcW w:w="134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1,456</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tcPr>
          <w:p>
            <w:pPr>
              <w:spacing w:after="0"/>
              <w:rPr>
                <w:sz w:val="20"/>
                <w:szCs w:val="20"/>
                <w:color w:val="auto"/>
              </w:rPr>
            </w:pPr>
            <w:r>
              <w:rPr>
                <w:rFonts w:ascii="Arial" w:cs="Arial" w:eastAsia="Arial" w:hAnsi="Arial"/>
                <w:sz w:val="18"/>
                <w:szCs w:val="18"/>
                <w:color w:val="auto"/>
              </w:rPr>
              <w:t>2004</w:t>
            </w:r>
          </w:p>
        </w:tc>
        <w:tc>
          <w:tcPr>
            <w:tcW w:w="1380" w:type="dxa"/>
            <w:vAlign w:val="bottom"/>
            <w:gridSpan w:val="2"/>
          </w:tcPr>
          <w:p>
            <w:pPr>
              <w:jc w:val="right"/>
              <w:ind w:right="800"/>
              <w:spacing w:after="0"/>
              <w:rPr>
                <w:sz w:val="20"/>
                <w:szCs w:val="20"/>
                <w:color w:val="auto"/>
              </w:rPr>
            </w:pPr>
            <w:r>
              <w:rPr>
                <w:rFonts w:ascii="Arial" w:cs="Arial" w:eastAsia="Arial" w:hAnsi="Arial"/>
                <w:sz w:val="18"/>
                <w:szCs w:val="18"/>
                <w:color w:val="auto"/>
              </w:rPr>
              <w:t>2,319</w:t>
            </w:r>
          </w:p>
        </w:tc>
        <w:tc>
          <w:tcPr>
            <w:tcW w:w="1340" w:type="dxa"/>
            <w:vAlign w:val="bottom"/>
            <w:gridSpan w:val="2"/>
          </w:tcPr>
          <w:p>
            <w:pPr>
              <w:jc w:val="right"/>
              <w:ind w:right="780"/>
              <w:spacing w:after="0"/>
              <w:rPr>
                <w:sz w:val="20"/>
                <w:szCs w:val="20"/>
                <w:color w:val="auto"/>
              </w:rPr>
            </w:pPr>
            <w:r>
              <w:rPr>
                <w:rFonts w:ascii="Arial" w:cs="Arial" w:eastAsia="Arial" w:hAnsi="Arial"/>
                <w:sz w:val="18"/>
                <w:szCs w:val="18"/>
                <w:color w:val="auto"/>
              </w:rPr>
              <w:t>3,095</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776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2005</w:t>
            </w:r>
          </w:p>
        </w:tc>
        <w:tc>
          <w:tcPr>
            <w:tcW w:w="138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52</w:t>
            </w:r>
          </w:p>
        </w:tc>
        <w:tc>
          <w:tcPr>
            <w:tcW w:w="134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65</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tcPr>
          <w:p>
            <w:pPr>
              <w:spacing w:after="0"/>
              <w:rPr>
                <w:sz w:val="20"/>
                <w:szCs w:val="20"/>
                <w:color w:val="auto"/>
              </w:rPr>
            </w:pPr>
            <w:r>
              <w:rPr>
                <w:rFonts w:ascii="Arial" w:cs="Arial" w:eastAsia="Arial" w:hAnsi="Arial"/>
                <w:sz w:val="18"/>
                <w:szCs w:val="18"/>
                <w:color w:val="auto"/>
              </w:rPr>
              <w:t>2006</w:t>
            </w:r>
          </w:p>
        </w:tc>
        <w:tc>
          <w:tcPr>
            <w:tcW w:w="580" w:type="dxa"/>
            <w:vAlign w:val="bottom"/>
          </w:tcPr>
          <w:p>
            <w:pPr>
              <w:jc w:val="right"/>
              <w:spacing w:after="0"/>
              <w:rPr>
                <w:sz w:val="20"/>
                <w:szCs w:val="20"/>
                <w:color w:val="auto"/>
              </w:rPr>
            </w:pPr>
            <w:r>
              <w:rPr>
                <w:rFonts w:ascii="Arial" w:cs="Arial" w:eastAsia="Arial" w:hAnsi="Arial"/>
                <w:sz w:val="18"/>
                <w:szCs w:val="18"/>
                <w:color w:val="auto"/>
              </w:rPr>
              <w:t>274</w:t>
            </w:r>
          </w:p>
        </w:tc>
        <w:tc>
          <w:tcPr>
            <w:tcW w:w="800" w:type="dxa"/>
            <w:vAlign w:val="bottom"/>
          </w:tcPr>
          <w:p>
            <w:pPr>
              <w:spacing w:after="0"/>
              <w:rPr>
                <w:sz w:val="18"/>
                <w:szCs w:val="18"/>
                <w:color w:val="auto"/>
              </w:rPr>
            </w:pPr>
          </w:p>
        </w:tc>
        <w:tc>
          <w:tcPr>
            <w:tcW w:w="1340" w:type="dxa"/>
            <w:vAlign w:val="bottom"/>
            <w:gridSpan w:val="2"/>
          </w:tcPr>
          <w:p>
            <w:pPr>
              <w:jc w:val="right"/>
              <w:ind w:right="780"/>
              <w:spacing w:after="0"/>
              <w:rPr>
                <w:sz w:val="20"/>
                <w:szCs w:val="20"/>
                <w:color w:val="auto"/>
              </w:rPr>
            </w:pPr>
            <w:r>
              <w:rPr>
                <w:rFonts w:ascii="Arial" w:cs="Arial" w:eastAsia="Arial" w:hAnsi="Arial"/>
                <w:sz w:val="18"/>
                <w:szCs w:val="18"/>
                <w:color w:val="auto"/>
              </w:rPr>
              <w:t>287</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0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80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7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6,370</w:t>
            </w:r>
          </w:p>
        </w:tc>
        <w:tc>
          <w:tcPr>
            <w:tcW w:w="8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8,482</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7"/>
          <w:szCs w:val="17"/>
          <w:color w:val="auto"/>
        </w:rPr>
        <w:t>If you have any questions or concerns with respect to the foregoing, please contact the undersigned at 408-542-2661 or by facsimile at 408-542-2516.</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/s/Robin N. Dickson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Robin N. Dickson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211" w:lineRule="exact"/>
        <w:rPr>
          <w:sz w:val="20"/>
          <w:szCs w:val="20"/>
          <w:color w:val="auto"/>
        </w:rPr>
      </w:pPr>
    </w:p>
    <w:p>
      <w:pPr>
        <w:ind w:left="700" w:right="6780" w:hanging="692"/>
        <w:spacing w:after="0" w:line="274" w:lineRule="auto"/>
        <w:tabs>
          <w:tab w:leader="none" w:pos="700" w:val="left"/>
        </w:tabs>
        <w:numPr>
          <w:ilvl w:val="0"/>
          <w:numId w:val="6"/>
        </w:numPr>
        <w:rPr>
          <w:rFonts w:ascii="Arial" w:cs="Arial" w:eastAsia="Arial" w:hAnsi="Arial"/>
          <w:sz w:val="17"/>
          <w:szCs w:val="17"/>
          <w:color w:val="auto"/>
        </w:rPr>
      </w:pPr>
      <w:r>
        <w:rPr>
          <w:rFonts w:ascii="Arial" w:cs="Arial" w:eastAsia="Arial" w:hAnsi="Arial"/>
          <w:sz w:val="17"/>
          <w:szCs w:val="17"/>
          <w:color w:val="auto"/>
        </w:rPr>
        <w:t>Patrick J. Harshman, President &amp; CEO, Harmonic Inc. Jerry Pruitt, Controller, Harmonic Inc.</w:t>
      </w:r>
    </w:p>
    <w:p>
      <w:pPr>
        <w:ind w:left="700"/>
        <w:spacing w:after="0"/>
        <w:rPr>
          <w:rFonts w:ascii="Arial" w:cs="Arial" w:eastAsia="Arial" w:hAnsi="Arial"/>
          <w:sz w:val="17"/>
          <w:szCs w:val="17"/>
          <w:color w:val="auto"/>
        </w:rPr>
      </w:pPr>
      <w:r>
        <w:rPr>
          <w:rFonts w:ascii="Arial" w:cs="Arial" w:eastAsia="Arial" w:hAnsi="Arial"/>
          <w:sz w:val="18"/>
          <w:szCs w:val="18"/>
          <w:color w:val="auto"/>
        </w:rPr>
        <w:t>Robert F. Heatley, PricewaterhouseCoopers LLP</w:t>
      </w:r>
    </w:p>
    <w:p>
      <w:pPr>
        <w:spacing w:after="0" w:line="9" w:lineRule="exact"/>
        <w:rPr>
          <w:rFonts w:ascii="Arial" w:cs="Arial" w:eastAsia="Arial" w:hAnsi="Arial"/>
          <w:sz w:val="17"/>
          <w:szCs w:val="17"/>
          <w:color w:val="auto"/>
        </w:rPr>
      </w:pPr>
    </w:p>
    <w:p>
      <w:pPr>
        <w:ind w:left="700"/>
        <w:spacing w:after="0"/>
        <w:rPr>
          <w:rFonts w:ascii="Arial" w:cs="Arial" w:eastAsia="Arial" w:hAnsi="Arial"/>
          <w:sz w:val="17"/>
          <w:szCs w:val="17"/>
          <w:color w:val="auto"/>
        </w:rPr>
      </w:pPr>
      <w:r>
        <w:rPr>
          <w:rFonts w:ascii="Arial" w:cs="Arial" w:eastAsia="Arial" w:hAnsi="Arial"/>
          <w:sz w:val="18"/>
          <w:szCs w:val="18"/>
          <w:color w:val="auto"/>
        </w:rPr>
        <w:t>Robert G. Day, Esq., Wilson Sonsini Goodrich &amp; Rosati, PC</w:t>
      </w:r>
    </w:p>
    <w:sectPr>
      <w:pgSz w:w="11900" w:h="16838" w:orient="portrait"/>
      <w:cols w:equalWidth="0" w:num="1">
        <w:col w:w="11420"/>
      </w:cols>
      <w:pgMar w:left="240" w:top="93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1."/>
      <w:numFmt w:val="decimal"/>
      <w:start w:val="2"/>
    </w:lvl>
  </w:abstractNum>
  <w:abstractNum w:abstractNumId="3">
    <w:nsid w:val="46E87CCD"/>
    <w:multiLevelType w:val="hybridMultilevel"/>
    <w:lvl w:ilvl="0">
      <w:lvlJc w:val="left"/>
      <w:lvlText w:val="%1."/>
      <w:numFmt w:val="decimal"/>
      <w:start w:val="3"/>
    </w:lvl>
  </w:abstractNum>
  <w:abstractNum w:abstractNumId="4">
    <w:nsid w:val="3D1B58BA"/>
    <w:multiLevelType w:val="hybridMultilevel"/>
    <w:lvl w:ilvl="0">
      <w:lvlJc w:val="left"/>
      <w:lvlText w:val="%1."/>
      <w:numFmt w:val="decimal"/>
      <w:start w:val="4"/>
    </w:lvl>
  </w:abstractNum>
  <w:abstractNum w:abstractNumId="5">
    <w:nsid w:val="507ED7AB"/>
    <w:multiLevelType w:val="hybridMultilevel"/>
    <w:lvl w:ilvl="0">
      <w:lvlJc w:val="left"/>
      <w:lvlText w:val="%1:"/>
      <w:numFmt w:val="lowerLetter"/>
      <w:start w:val="29"/>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2019-12-13T18:16:07Z</dcterms:created>
  <dcterms:modified xsi:type="dcterms:W3CDTF">2019-12-13T18:16:07Z</dcterms:modified>
</cp:coreProperties>
</file>