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4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6, 2026</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HARMONIC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980" w:type="dxa"/>
        <w:tblCellMar>
          <w:top w:w="0" w:type="dxa"/>
          <w:left w:w="0" w:type="dxa"/>
          <w:bottom w:w="0" w:type="dxa"/>
          <w:right w:w="0" w:type="dxa"/>
        </w:tblCellMar>
      </w:tblPr>
      <w:tr>
        <w:trPr>
          <w:trHeight w:val="238"/>
        </w:trPr>
        <w:tc>
          <w:tcPr>
            <w:tcW w:w="2120" w:type="dxa"/>
            <w:vAlign w:val="bottom"/>
          </w:tcPr>
          <w:p>
            <w:pPr>
              <w:jc w:val="center"/>
              <w:ind w:right="2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20" w:type="dxa"/>
            <w:vAlign w:val="bottom"/>
          </w:tcPr>
          <w:p>
            <w:pPr>
              <w:jc w:val="center"/>
              <w:ind w:right="114"/>
              <w:spacing w:after="0"/>
              <w:rPr>
                <w:sz w:val="20"/>
                <w:szCs w:val="20"/>
                <w:color w:val="auto"/>
              </w:rPr>
            </w:pPr>
            <w:r>
              <w:rPr>
                <w:rFonts w:ascii="Times New Roman" w:cs="Times New Roman" w:eastAsia="Times New Roman" w:hAnsi="Times New Roman"/>
                <w:sz w:val="18"/>
                <w:szCs w:val="18"/>
                <w:b w:val="1"/>
                <w:bCs w:val="1"/>
                <w:color w:val="auto"/>
                <w:w w:val="99"/>
              </w:rPr>
              <w:t>000-25826</w:t>
            </w:r>
          </w:p>
        </w:tc>
        <w:tc>
          <w:tcPr>
            <w:tcW w:w="1600" w:type="dxa"/>
            <w:vAlign w:val="bottom"/>
          </w:tcPr>
          <w:p>
            <w:pPr>
              <w:jc w:val="center"/>
              <w:ind w:left="402"/>
              <w:spacing w:after="0"/>
              <w:rPr>
                <w:sz w:val="20"/>
                <w:szCs w:val="20"/>
                <w:color w:val="auto"/>
              </w:rPr>
            </w:pPr>
            <w:r>
              <w:rPr>
                <w:rFonts w:ascii="Times New Roman" w:cs="Times New Roman" w:eastAsia="Times New Roman" w:hAnsi="Times New Roman"/>
                <w:sz w:val="18"/>
                <w:szCs w:val="18"/>
                <w:b w:val="1"/>
                <w:bCs w:val="1"/>
                <w:color w:val="auto"/>
              </w:rPr>
              <w:t>77-0201147</w:t>
            </w:r>
          </w:p>
        </w:tc>
      </w:tr>
      <w:tr>
        <w:trPr>
          <w:trHeight w:val="191"/>
        </w:trPr>
        <w:tc>
          <w:tcPr>
            <w:tcW w:w="212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2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0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2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2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0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2120" w:type="dxa"/>
            <w:vAlign w:val="bottom"/>
          </w:tcPr>
          <w:p>
            <w:pPr>
              <w:spacing w:after="0"/>
              <w:rPr>
                <w:sz w:val="24"/>
                <w:szCs w:val="24"/>
                <w:color w:val="auto"/>
              </w:rPr>
            </w:pPr>
          </w:p>
        </w:tc>
        <w:tc>
          <w:tcPr>
            <w:tcW w:w="5220" w:type="dxa"/>
            <w:vAlign w:val="bottom"/>
          </w:tcPr>
          <w:p>
            <w:pPr>
              <w:jc w:val="center"/>
              <w:ind w:right="134"/>
              <w:spacing w:after="0"/>
              <w:rPr>
                <w:sz w:val="20"/>
                <w:szCs w:val="20"/>
                <w:color w:val="auto"/>
              </w:rPr>
            </w:pPr>
            <w:r>
              <w:rPr>
                <w:rFonts w:ascii="Times New Roman" w:cs="Times New Roman" w:eastAsia="Times New Roman" w:hAnsi="Times New Roman"/>
                <w:sz w:val="18"/>
                <w:szCs w:val="18"/>
                <w:b w:val="1"/>
                <w:bCs w:val="1"/>
                <w:color w:val="auto"/>
                <w:w w:val="99"/>
              </w:rPr>
              <w:t>2590 Orchard Parkway</w:t>
            </w:r>
          </w:p>
        </w:tc>
        <w:tc>
          <w:tcPr>
            <w:tcW w:w="1600" w:type="dxa"/>
            <w:vAlign w:val="bottom"/>
          </w:tcPr>
          <w:p>
            <w:pPr>
              <w:spacing w:after="0"/>
              <w:rPr>
                <w:sz w:val="24"/>
                <w:szCs w:val="24"/>
                <w:color w:val="auto"/>
              </w:rPr>
            </w:pPr>
          </w:p>
        </w:tc>
      </w:tr>
      <w:tr>
        <w:trPr>
          <w:trHeight w:val="220"/>
        </w:trPr>
        <w:tc>
          <w:tcPr>
            <w:tcW w:w="2120" w:type="dxa"/>
            <w:vAlign w:val="bottom"/>
          </w:tcPr>
          <w:p>
            <w:pPr>
              <w:spacing w:after="0"/>
              <w:rPr>
                <w:sz w:val="19"/>
                <w:szCs w:val="19"/>
                <w:color w:val="auto"/>
              </w:rPr>
            </w:pPr>
          </w:p>
        </w:tc>
        <w:tc>
          <w:tcPr>
            <w:tcW w:w="5220" w:type="dxa"/>
            <w:vAlign w:val="bottom"/>
          </w:tcPr>
          <w:p>
            <w:pPr>
              <w:jc w:val="center"/>
              <w:ind w:right="134"/>
              <w:spacing w:after="0"/>
              <w:rPr>
                <w:sz w:val="20"/>
                <w:szCs w:val="20"/>
                <w:color w:val="auto"/>
              </w:rPr>
            </w:pPr>
            <w:r>
              <w:rPr>
                <w:rFonts w:ascii="Times New Roman" w:cs="Times New Roman" w:eastAsia="Times New Roman" w:hAnsi="Times New Roman"/>
                <w:sz w:val="18"/>
                <w:szCs w:val="18"/>
                <w:b w:val="1"/>
                <w:bCs w:val="1"/>
                <w:color w:val="auto"/>
              </w:rPr>
              <w:t>San Jose, CA 95131</w:t>
            </w:r>
          </w:p>
        </w:tc>
        <w:tc>
          <w:tcPr>
            <w:tcW w:w="160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52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600" w:type="dxa"/>
            <w:vAlign w:val="bottom"/>
          </w:tcPr>
          <w:p>
            <w:pPr>
              <w:spacing w:after="0"/>
              <w:rPr>
                <w:sz w:val="20"/>
                <w:szCs w:val="20"/>
                <w:color w:val="auto"/>
              </w:rPr>
            </w:pPr>
          </w:p>
        </w:tc>
      </w:tr>
      <w:tr>
        <w:trPr>
          <w:trHeight w:val="373"/>
        </w:trPr>
        <w:tc>
          <w:tcPr>
            <w:tcW w:w="2120" w:type="dxa"/>
            <w:vAlign w:val="bottom"/>
          </w:tcPr>
          <w:p>
            <w:pPr>
              <w:spacing w:after="0"/>
              <w:rPr>
                <w:sz w:val="24"/>
                <w:szCs w:val="24"/>
                <w:color w:val="auto"/>
              </w:rPr>
            </w:pPr>
          </w:p>
        </w:tc>
        <w:tc>
          <w:tcPr>
            <w:tcW w:w="5220" w:type="dxa"/>
            <w:vAlign w:val="bottom"/>
          </w:tcPr>
          <w:p>
            <w:pPr>
              <w:jc w:val="center"/>
              <w:ind w:right="134"/>
              <w:spacing w:after="0"/>
              <w:rPr>
                <w:sz w:val="20"/>
                <w:szCs w:val="20"/>
                <w:color w:val="auto"/>
              </w:rPr>
            </w:pPr>
            <w:r>
              <w:rPr>
                <w:rFonts w:ascii="Times New Roman" w:cs="Times New Roman" w:eastAsia="Times New Roman" w:hAnsi="Times New Roman"/>
                <w:sz w:val="18"/>
                <w:szCs w:val="18"/>
                <w:b w:val="1"/>
                <w:bCs w:val="1"/>
                <w:color w:val="auto"/>
                <w:w w:val="99"/>
              </w:rPr>
              <w:t>(408) 542-2500</w:t>
            </w:r>
          </w:p>
        </w:tc>
        <w:tc>
          <w:tcPr>
            <w:tcW w:w="160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522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00" w:type="dxa"/>
            <w:vAlign w:val="bottom"/>
          </w:tcPr>
          <w:p>
            <w:pPr>
              <w:spacing w:after="0"/>
              <w:rPr>
                <w:sz w:val="20"/>
                <w:szCs w:val="20"/>
                <w:color w:val="auto"/>
              </w:rPr>
            </w:pPr>
          </w:p>
        </w:tc>
      </w:tr>
      <w:tr>
        <w:trPr>
          <w:trHeight w:val="373"/>
        </w:trPr>
        <w:tc>
          <w:tcPr>
            <w:tcW w:w="2120" w:type="dxa"/>
            <w:vAlign w:val="bottom"/>
          </w:tcPr>
          <w:p>
            <w:pPr>
              <w:spacing w:after="0"/>
              <w:rPr>
                <w:sz w:val="24"/>
                <w:szCs w:val="24"/>
                <w:color w:val="auto"/>
              </w:rPr>
            </w:pPr>
          </w:p>
        </w:tc>
        <w:tc>
          <w:tcPr>
            <w:tcW w:w="52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0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522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600" w:type="dxa"/>
            <w:vAlign w:val="bottom"/>
          </w:tcPr>
          <w:p>
            <w:pPr>
              <w:spacing w:after="0"/>
              <w:rPr>
                <w:sz w:val="20"/>
                <w:szCs w:val="20"/>
                <w:color w:val="auto"/>
              </w:rPr>
            </w:pPr>
          </w:p>
        </w:tc>
      </w:tr>
    </w:tbl>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right="2740" w:firstLine="8"/>
        <w:spacing w:after="0" w:line="386" w:lineRule="auto"/>
        <w:tabs>
          <w:tab w:leader="none" w:pos="459"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HLIT</w:t>
            </w:r>
          </w:p>
        </w:tc>
        <w:tc>
          <w:tcPr>
            <w:tcW w:w="42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25"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16"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 w:name="page2"/>
    <w:bookmarkEnd w:id="1"/>
    <w:p>
      <w:pPr>
        <w:ind w:left="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89" w:lineRule="exact"/>
        <w:rPr>
          <w:sz w:val="20"/>
          <w:szCs w:val="20"/>
          <w:color w:val="auto"/>
        </w:rPr>
      </w:pPr>
    </w:p>
    <w:p>
      <w:pPr>
        <w:jc w:val="both"/>
        <w:ind w:right="120" w:firstLine="464"/>
        <w:spacing w:after="0" w:line="261" w:lineRule="auto"/>
        <w:rPr>
          <w:sz w:val="20"/>
          <w:szCs w:val="20"/>
          <w:color w:val="auto"/>
        </w:rPr>
      </w:pPr>
      <w:r>
        <w:rPr>
          <w:rFonts w:ascii="Times New Roman" w:cs="Times New Roman" w:eastAsia="Times New Roman" w:hAnsi="Times New Roman"/>
          <w:sz w:val="18"/>
          <w:szCs w:val="18"/>
          <w:color w:val="auto"/>
        </w:rPr>
        <w:t>On May 11, 2026, Harmonic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regarding its preliminary unaudited financial results for the quarter ended April 3, 2026. In the press release, Harmonic also announced that it would be holding a conference call on May 11, 2026 to discuss its financial results for the quarter ended April 3, 2026. A copy of the press release is furnished as Exhibit 99.1 hereto, and the information in Exhibit 99.1 is incorporated herein by reference.</w:t>
      </w:r>
    </w:p>
    <w:p>
      <w:pPr>
        <w:spacing w:after="0" w:line="112" w:lineRule="exact"/>
        <w:rPr>
          <w:sz w:val="20"/>
          <w:szCs w:val="20"/>
          <w:color w:val="auto"/>
        </w:rPr>
      </w:pPr>
    </w:p>
    <w:p>
      <w:pPr>
        <w:ind w:right="220" w:firstLine="464"/>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and Exhibit 99.1 attached hereto is being furnished and shall not be deemed “filed” for the purposes of Section 18 of the Securities Exchange Act of 1934, as amended (the “Exchange Act”), or otherwise subject to the liabilities of that Section, and this Item 2.02 of this Current Report on Form 8-K and Exhibit 99.1 furnished herewith shall not be incorporated by reference into any filing by Harmonic under the Securities Act of 1933, as amended (the “Securities Act”), or under the Exchange Act.</w:t>
      </w:r>
    </w:p>
    <w:p>
      <w:pPr>
        <w:spacing w:after="0" w:line="230" w:lineRule="exact"/>
        <w:rPr>
          <w:sz w:val="20"/>
          <w:szCs w:val="20"/>
          <w:color w:val="auto"/>
        </w:rPr>
      </w:pPr>
    </w:p>
    <w:p>
      <w:pPr>
        <w:ind w:left="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7"/>
          <w:szCs w:val="17"/>
          <w:b w:val="1"/>
          <w:bCs w:val="1"/>
          <w:color w:val="auto"/>
        </w:rPr>
        <w:t>Departure of Directors or Certain Officers; Election of Directors; Appointment of Certain Officers; Compensatory.</w:t>
      </w:r>
    </w:p>
    <w:p>
      <w:pPr>
        <w:spacing w:after="0" w:line="2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 Compensatory</w:t>
      </w:r>
    </w:p>
    <w:p>
      <w:pPr>
        <w:spacing w:after="0" w:line="158" w:lineRule="exact"/>
        <w:rPr>
          <w:sz w:val="20"/>
          <w:szCs w:val="20"/>
          <w:color w:val="auto"/>
        </w:rPr>
      </w:pPr>
    </w:p>
    <w:p>
      <w:pPr>
        <w:ind w:right="140" w:firstLine="464"/>
        <w:spacing w:after="0" w:line="254" w:lineRule="auto"/>
        <w:rPr>
          <w:sz w:val="20"/>
          <w:szCs w:val="20"/>
          <w:color w:val="auto"/>
        </w:rPr>
      </w:pPr>
      <w:r>
        <w:rPr>
          <w:rFonts w:ascii="Times New Roman" w:cs="Times New Roman" w:eastAsia="Times New Roman" w:hAnsi="Times New Roman"/>
          <w:sz w:val="18"/>
          <w:szCs w:val="18"/>
          <w:color w:val="auto"/>
        </w:rPr>
        <w:t>On May 6, 2026, the Compensation Committee approved a new transaction success incentive plan (the “Incentive Plan”) for Neven Haltmayer, the Company’s Senior Vice President and General Manager, Video Business, in connection with the pending sale of the Company’s Video Business to Leone Media Inc. (d/b/a MediaKind) (the “Transaction”). The Incentive Plan supersedes and replaces the incentive previously approved by the Compensation Committee on February 3, 2026. Under the Incentive Plan, (i) 50 percent of Mr. Haltmayer’s time-based restricted stock units covering shares of the Company’s common stock that are outstanding and unvested as of the date of completion of the Transaction (the “Transaction Closing Date”) will vest on the Transaction Closing Date and (ii) 50 percent of Mr. Haltmayer’s performance-based restricted stock units granted in April 2025 will vest as of the Transaction Closing Date, in each case subject to Mr. Haltmayer’s continued employment with the Company through the Transaction Closing Date. In addition, upon the successful completion of the Transaction, Mr. Haltmayer will be entitled to receive a cash bonus in the gross amount of $835,000, subject to Mr. Haltmayer’s continued employment with the Company through the Transaction Closing Date.</w:t>
      </w:r>
    </w:p>
    <w:p>
      <w:pPr>
        <w:spacing w:after="0" w:line="252" w:lineRule="exact"/>
        <w:rPr>
          <w:sz w:val="20"/>
          <w:szCs w:val="20"/>
          <w:color w:val="auto"/>
        </w:rPr>
      </w:pPr>
    </w:p>
    <w:p>
      <w:pPr>
        <w:ind w:left="6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62"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194"/>
        </w:trPr>
        <w:tc>
          <w:tcPr>
            <w:tcW w:w="180" w:type="dxa"/>
            <w:vAlign w:val="bottom"/>
          </w:tcPr>
          <w:p>
            <w:pPr>
              <w:spacing w:after="0"/>
              <w:rPr>
                <w:sz w:val="16"/>
                <w:szCs w:val="16"/>
                <w:color w:val="auto"/>
              </w:rPr>
            </w:pPr>
          </w:p>
        </w:tc>
        <w:tc>
          <w:tcPr>
            <w:tcW w:w="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4"/>
              </w:rPr>
              <w:t>Number</w:t>
            </w:r>
          </w:p>
        </w:tc>
        <w:tc>
          <w:tcPr>
            <w:tcW w:w="480" w:type="dxa"/>
            <w:vAlign w:val="bottom"/>
          </w:tcPr>
          <w:p>
            <w:pPr>
              <w:spacing w:after="0"/>
              <w:rPr>
                <w:sz w:val="16"/>
                <w:szCs w:val="16"/>
                <w:color w:val="auto"/>
              </w:rPr>
            </w:pPr>
          </w:p>
        </w:tc>
        <w:tc>
          <w:tcPr>
            <w:tcW w:w="100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99.1</w:t>
            </w:r>
          </w:p>
        </w:tc>
        <w:tc>
          <w:tcPr>
            <w:tcW w:w="48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of Harmonic Inc. dated May 11, 2026, entitled "Harmonic Announces First Quarter 2026 Results."</w:t>
            </w:r>
          </w:p>
        </w:tc>
      </w:tr>
      <w:tr>
        <w:trPr>
          <w:trHeight w:val="20"/>
        </w:trPr>
        <w:tc>
          <w:tcPr>
            <w:tcW w:w="760" w:type="dxa"/>
            <w:vAlign w:val="bottom"/>
            <w:gridSpan w:val="2"/>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60" w:type="dxa"/>
            <w:vAlign w:val="bottom"/>
            <w:gridSpan w:val="2"/>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45"/>
        </w:trPr>
        <w:tc>
          <w:tcPr>
            <w:tcW w:w="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85"/>
        </w:trPr>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14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May 11, 2026</w:t>
            </w:r>
          </w:p>
        </w:tc>
        <w:tc>
          <w:tcPr>
            <w:tcW w:w="788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HARMONIC INC.</w:t>
            </w:r>
          </w:p>
        </w:tc>
      </w:tr>
      <w:tr>
        <w:trPr>
          <w:trHeight w:val="979"/>
        </w:trPr>
        <w:tc>
          <w:tcPr>
            <w:tcW w:w="3360" w:type="dxa"/>
            <w:vAlign w:val="bottom"/>
          </w:tcPr>
          <w:p>
            <w:pPr>
              <w:spacing w:after="0"/>
              <w:rPr>
                <w:sz w:val="24"/>
                <w:szCs w:val="24"/>
                <w:color w:val="auto"/>
              </w:rPr>
            </w:pPr>
          </w:p>
        </w:tc>
        <w:tc>
          <w:tcPr>
            <w:tcW w:w="26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Walter Jankovic</w:t>
            </w:r>
          </w:p>
        </w:tc>
        <w:tc>
          <w:tcPr>
            <w:tcW w:w="1240" w:type="dxa"/>
            <w:vAlign w:val="bottom"/>
          </w:tcPr>
          <w:p>
            <w:pPr>
              <w:spacing w:after="0"/>
              <w:rPr>
                <w:sz w:val="24"/>
                <w:szCs w:val="24"/>
                <w:color w:val="auto"/>
              </w:rPr>
            </w:pPr>
          </w:p>
        </w:tc>
      </w:tr>
      <w:tr>
        <w:trPr>
          <w:trHeight w:val="243"/>
        </w:trPr>
        <w:tc>
          <w:tcPr>
            <w:tcW w:w="33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Walter Jankovic</w:t>
            </w:r>
          </w:p>
        </w:tc>
      </w:tr>
      <w:tr>
        <w:trPr>
          <w:trHeight w:val="297"/>
        </w:trPr>
        <w:tc>
          <w:tcPr>
            <w:tcW w:w="3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28"/>
        </w:trPr>
        <w:tc>
          <w:tcPr>
            <w:tcW w:w="33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102870</wp:posOffset>
            </wp:positionV>
            <wp:extent cx="1534160" cy="454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160" cy="45402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600075</wp:posOffset>
            </wp:positionV>
            <wp:extent cx="115760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5760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Harmonic Announces First Quarter 2026 Results</w:t>
      </w:r>
    </w:p>
    <w:p>
      <w:pPr>
        <w:spacing w:after="0" w:line="281" w:lineRule="exact"/>
        <w:rPr>
          <w:sz w:val="20"/>
          <w:szCs w:val="20"/>
          <w:color w:val="auto"/>
        </w:rPr>
      </w:pPr>
    </w:p>
    <w:p>
      <w:pPr>
        <w:jc w:val="center"/>
        <w:ind w:left="340" w:right="2220"/>
        <w:spacing w:after="0" w:line="290" w:lineRule="auto"/>
        <w:rPr>
          <w:sz w:val="20"/>
          <w:szCs w:val="20"/>
          <w:color w:val="auto"/>
        </w:rPr>
      </w:pPr>
      <w:r>
        <w:rPr>
          <w:rFonts w:ascii="Times New Roman" w:cs="Times New Roman" w:eastAsia="Times New Roman" w:hAnsi="Times New Roman"/>
          <w:sz w:val="17"/>
          <w:szCs w:val="17"/>
          <w:i w:val="1"/>
          <w:iCs w:val="1"/>
          <w:color w:val="auto"/>
        </w:rPr>
        <w:t>Broadband revenue increased 43% year over year, including 78% growth in Rest-of-Market Company raises full-year outlook to reflect Broadband revenue of $475 million - $495 million Sale of Video business progressing as planned, expected to close in the second quarter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SAN JOSE, California, May 11, 2026 </w:t>
      </w:r>
      <w:r>
        <w:rPr>
          <w:rFonts w:ascii="Times New Roman" w:cs="Times New Roman" w:eastAsia="Times New Roman" w:hAnsi="Times New Roman"/>
          <w:sz w:val="18"/>
          <w:szCs w:val="18"/>
          <w:color w:val="auto"/>
        </w:rPr>
        <w:t>- Harmonic Inc. (Nasdaq: HLIT) today announced its unaudited results for the first quarter ended April 3, 2026.</w:t>
      </w:r>
    </w:p>
    <w:p>
      <w:pPr>
        <w:spacing w:after="0" w:line="36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first quarter represents a strong start to the year driven by 43% year over year growth in Broadband revenue, including 78% growth in Rest-of-Market revenue,” said Nimrod Ben-Natan, president and chief executive officer of Harmonic. “Given our continued momentum, robust bookings and record backlog, we are raising our full-year 2026 outlook to reflect Broadband revenue between $475 million to $495 million.”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Business Highlights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Company Financial Results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gridSpan w:val="3"/>
          </w:tcPr>
          <w:p>
            <w:pPr>
              <w:jc w:val="right"/>
              <w:ind w:right="1868"/>
              <w:spacing w:after="0"/>
              <w:rPr>
                <w:sz w:val="20"/>
                <w:szCs w:val="20"/>
                <w:color w:val="auto"/>
              </w:rPr>
            </w:pPr>
            <w:r>
              <w:rPr>
                <w:rFonts w:ascii="Times New Roman" w:cs="Times New Roman" w:eastAsia="Times New Roman" w:hAnsi="Times New Roman"/>
                <w:sz w:val="14"/>
                <w:szCs w:val="14"/>
                <w:b w:val="1"/>
                <w:bCs w:val="1"/>
                <w:color w:val="auto"/>
              </w:rPr>
              <w:t>Q1 2026</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GAAP</w:t>
            </w:r>
          </w:p>
        </w:tc>
        <w:tc>
          <w:tcPr>
            <w:tcW w:w="7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Non-GAAP</w:t>
            </w: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20" w:type="dxa"/>
            <w:vAlign w:val="bottom"/>
            <w:gridSpan w:val="4"/>
          </w:tcPr>
          <w:p>
            <w:pPr>
              <w:jc w:val="right"/>
              <w:ind w:right="768"/>
              <w:spacing w:after="0" w:line="142" w:lineRule="exact"/>
              <w:rPr>
                <w:sz w:val="20"/>
                <w:szCs w:val="20"/>
                <w:color w:val="auto"/>
              </w:rPr>
            </w:pPr>
            <w:r>
              <w:rPr>
                <w:rFonts w:ascii="Times New Roman" w:cs="Times New Roman" w:eastAsia="Times New Roman" w:hAnsi="Times New Roman"/>
                <w:sz w:val="14"/>
                <w:szCs w:val="14"/>
                <w:i w:val="1"/>
                <w:iCs w:val="1"/>
                <w:color w:val="auto"/>
              </w:rPr>
              <w:t>(Unaudited, in millions, except per share data)</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740" w:type="dxa"/>
            <w:vAlign w:val="bottom"/>
            <w:gridSpan w:val="2"/>
            <w:shd w:val="clear" w:color="auto" w:fill="CFF0FC"/>
          </w:tcPr>
          <w:p>
            <w:pPr>
              <w:jc w:val="right"/>
              <w:ind w:right="17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2320" w:type="dxa"/>
            <w:vAlign w:val="bottom"/>
            <w:gridSpan w:val="2"/>
            <w:shd w:val="clear" w:color="auto" w:fill="CFF0FC"/>
          </w:tcPr>
          <w:p>
            <w:pPr>
              <w:jc w:val="right"/>
              <w:ind w:right="186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740" w:type="dxa"/>
            <w:vAlign w:val="bottom"/>
            <w:gridSpan w:val="2"/>
            <w:shd w:val="clear" w:color="auto" w:fill="CFF0FC"/>
          </w:tcPr>
          <w:p>
            <w:pPr>
              <w:jc w:val="right"/>
              <w:ind w:right="17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320" w:type="dxa"/>
            <w:vAlign w:val="bottom"/>
            <w:gridSpan w:val="2"/>
            <w:shd w:val="clear" w:color="auto" w:fill="CFF0FC"/>
          </w:tcPr>
          <w:p>
            <w:pPr>
              <w:jc w:val="right"/>
              <w:ind w:right="186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432"/>
        </w:trPr>
        <w:tc>
          <w:tcPr>
            <w:tcW w:w="4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Continuing Operations Financial Results - Broadband</w:t>
            </w:r>
          </w:p>
        </w:tc>
        <w:tc>
          <w:tcPr>
            <w:tcW w:w="8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100" w:type="dxa"/>
            <w:vAlign w:val="bottom"/>
            <w:gridSpan w:val="3"/>
            <w:vMerge w:val="restart"/>
          </w:tcPr>
          <w:p>
            <w:pPr>
              <w:jc w:val="right"/>
              <w:ind w:right="1868"/>
              <w:spacing w:after="0"/>
              <w:rPr>
                <w:sz w:val="20"/>
                <w:szCs w:val="20"/>
                <w:color w:val="auto"/>
              </w:rPr>
            </w:pPr>
            <w:r>
              <w:rPr>
                <w:rFonts w:ascii="Times New Roman" w:cs="Times New Roman" w:eastAsia="Times New Roman" w:hAnsi="Times New Roman"/>
                <w:sz w:val="14"/>
                <w:szCs w:val="14"/>
                <w:b w:val="1"/>
                <w:bCs w:val="1"/>
                <w:color w:val="auto"/>
              </w:rPr>
              <w:t>Q1 2026</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gridSpan w:val="3"/>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GAAP</w:t>
            </w:r>
          </w:p>
        </w:tc>
        <w:tc>
          <w:tcPr>
            <w:tcW w:w="7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Non-GAAP</w:t>
            </w: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20" w:type="dxa"/>
            <w:vAlign w:val="bottom"/>
            <w:gridSpan w:val="4"/>
          </w:tcPr>
          <w:p>
            <w:pPr>
              <w:jc w:val="right"/>
              <w:ind w:right="768"/>
              <w:spacing w:after="0" w:line="142" w:lineRule="exact"/>
              <w:rPr>
                <w:sz w:val="20"/>
                <w:szCs w:val="20"/>
                <w:color w:val="auto"/>
              </w:rPr>
            </w:pPr>
            <w:r>
              <w:rPr>
                <w:rFonts w:ascii="Times New Roman" w:cs="Times New Roman" w:eastAsia="Times New Roman" w:hAnsi="Times New Roman"/>
                <w:sz w:val="14"/>
                <w:szCs w:val="14"/>
                <w:i w:val="1"/>
                <w:iCs w:val="1"/>
                <w:color w:val="auto"/>
              </w:rPr>
              <w:t>(Unaudited, in millions, except per share data)</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740" w:type="dxa"/>
            <w:vAlign w:val="bottom"/>
            <w:gridSpan w:val="2"/>
            <w:shd w:val="clear" w:color="auto" w:fill="CFF0FC"/>
          </w:tcPr>
          <w:p>
            <w:pPr>
              <w:jc w:val="right"/>
              <w:ind w:right="17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320" w:type="dxa"/>
            <w:vAlign w:val="bottom"/>
            <w:gridSpan w:val="2"/>
            <w:shd w:val="clear" w:color="auto" w:fill="CFF0FC"/>
          </w:tcPr>
          <w:p>
            <w:pPr>
              <w:jc w:val="right"/>
              <w:ind w:right="186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Operating profit </w:t>
            </w:r>
            <w:r>
              <w:rPr>
                <w:rFonts w:ascii="Times New Roman" w:cs="Times New Roman" w:eastAsia="Times New Roman" w:hAnsi="Times New Roman"/>
                <w:sz w:val="24"/>
                <w:szCs w:val="24"/>
                <w:color w:val="auto"/>
                <w:vertAlign w:val="superscript"/>
              </w:rPr>
              <w:t>(1)</w:t>
            </w:r>
          </w:p>
        </w:tc>
        <w:tc>
          <w:tcPr>
            <w:tcW w:w="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income per share </w:t>
            </w:r>
            <w:r>
              <w:rPr>
                <w:rFonts w:ascii="Times New Roman" w:cs="Times New Roman" w:eastAsia="Times New Roman" w:hAnsi="Times New Roman"/>
                <w:sz w:val="24"/>
                <w:szCs w:val="24"/>
                <w:color w:val="auto"/>
                <w:vertAlign w:val="superscript"/>
              </w:rPr>
              <w:t>(1)</w:t>
            </w:r>
          </w:p>
        </w:tc>
        <w:tc>
          <w:tcPr>
            <w:tcW w:w="2740" w:type="dxa"/>
            <w:vAlign w:val="bottom"/>
            <w:gridSpan w:val="2"/>
            <w:shd w:val="clear" w:color="auto" w:fill="CFF0FC"/>
          </w:tcPr>
          <w:p>
            <w:pPr>
              <w:jc w:val="right"/>
              <w:ind w:right="17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320" w:type="dxa"/>
            <w:vAlign w:val="bottom"/>
            <w:gridSpan w:val="2"/>
            <w:shd w:val="clear" w:color="auto" w:fill="CFF0FC"/>
          </w:tcPr>
          <w:p>
            <w:pPr>
              <w:jc w:val="right"/>
              <w:ind w:right="186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and deferred revenue of $582.1 million, an increase of 87%, compared to $311.7 million last year</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$109.0 million at April 3, 2026, compared to $124.1 million at December 31, 2025</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approximately 4.2 million shares of common stock for $43.0 million in Q1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Continuing Operations Business Highlights - Broadband</w:t>
      </w:r>
      <w:r>
        <w:rPr>
          <w:rFonts w:ascii="Times New Roman" w:cs="Times New Roman" w:eastAsia="Times New Roman" w:hAnsi="Times New Roman"/>
          <w:sz w:val="24"/>
          <w:szCs w:val="24"/>
          <w:color w:val="FFFFFF"/>
          <w:vertAlign w:val="superscript"/>
        </w:rPr>
        <w:t>1</w:t>
      </w:r>
    </w:p>
    <w:p>
      <w:pPr>
        <w:spacing w:after="0" w:line="95" w:lineRule="exact"/>
        <w:rPr>
          <w:sz w:val="20"/>
          <w:szCs w:val="20"/>
          <w:color w:val="auto"/>
        </w:rPr>
      </w:pPr>
    </w:p>
    <w:p>
      <w:pPr>
        <w:ind w:left="760" w:right="260" w:hanging="378"/>
        <w:spacing w:after="0" w:line="261" w:lineRule="auto"/>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Commercially deployed our cOS™ solution with 150 customers, serving 45.7 million cable modems, with ongoing expansion across all tier-1 accounts and new customer wins</w:t>
      </w:r>
    </w:p>
    <w:p>
      <w:pPr>
        <w:ind w:left="760" w:hanging="378"/>
        <w:spacing w:after="0"/>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Rest-of-Market bookings exceeded 50% of total Q1 bookings, reflecting meaningful progress in customer diversification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additional DOCSIS 4.0 customer wins and deployments, with a growing pipeline</w:t>
      </w:r>
    </w:p>
    <w:p>
      <w:pPr>
        <w:spacing w:after="0" w:line="9" w:lineRule="exact"/>
        <w:rPr>
          <w:rFonts w:ascii="Times New Roman" w:cs="Times New Roman" w:eastAsia="Times New Roman" w:hAnsi="Times New Roman"/>
          <w:sz w:val="18"/>
          <w:szCs w:val="18"/>
          <w:color w:val="auto"/>
        </w:rPr>
      </w:pPr>
    </w:p>
    <w:p>
      <w:pPr>
        <w:ind w:left="760" w:right="120" w:hanging="378"/>
        <w:spacing w:after="0" w:line="260" w:lineRule="auto"/>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multiple fiber wins, including several international providers, with fiber products representing over 14% of Appliance and Integration revenue during the past year</w:t>
      </w:r>
    </w:p>
    <w:p>
      <w:pPr>
        <w:spacing w:after="0" w:line="21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approximately $2.3 million of stranded costs associated with the Video divestiture for Q1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168846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 - Video Business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results of the Company's Video Business are presented as held-for-sale and discontinued operations in its condensed consolidated statements of operations and condensed consolidated balance sheets for all periods presented in this press release. As previously announced, on December 8, 2025, the Company entered into a Put Option Agreement to sell its Video business to Leone Media Inc. (d/b/a MediaKind) (the “Buyer”) for a purchase price of $145 million in cash (the "Disposition"). The purchase price is subject to a potential adjustment based on the amount, on the date the Disposition is consummated, of net working capital of the Video business, the cash and debt of the entities to be sold in the Disposition, as well as the amount of specified selling expenses. As such, and unless stated otherwise, all results presented in the following table reflect those of continuing operations.</w:t>
      </w:r>
    </w:p>
    <w:p>
      <w:pPr>
        <w:spacing w:after="0" w:line="14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French employee works council consultation process was completed on March 12, 2026. On March 16, 2026, the Company delivered a notice of intent to exercise the Put Option to the Buyer requesting that Buyer execute that certain Asset Purchase Agreement (the “APA”) on March 20, 2026 and both the Buyer and the Company executed the APA on March 20, 2026. The Buyer’s and the Company’s obligation to complete the Disposition is subject to certain conditions under the APA, including customary regulatory approvals. The APA includes certain representations, warranties, and covenants of the parties thereto, including an agreement of the Company not to compete with the Business for three years following the closing date as set forth in the APA. In addition, the Company and the Buyer have agreed to indemnify each other for certain losses arising under the APA. The APA also provides that either the Buyer or Company have the right to terminate the APA in the event that the closing conditions have not been satisfied by June 8, 2026, subject to automatic extension to September 8, 2026, in the event of certain closing conditions remaining unsatisfied as of the earlier date. The Disposition is expected to close in the second quarter of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 Financial Information from Continuing Operations - Broadband</w:t>
      </w:r>
      <w:r>
        <w:rPr>
          <w:rFonts w:ascii="Times New Roman" w:cs="Times New Roman" w:eastAsia="Times New Roman" w:hAnsi="Times New Roman"/>
          <w:sz w:val="24"/>
          <w:szCs w:val="24"/>
          <w:b w:val="1"/>
          <w:bCs w:val="1"/>
          <w:color w:val="FFFFFF"/>
          <w:vertAlign w:val="superscript"/>
        </w:rPr>
        <w:t>2</w:t>
      </w:r>
    </w:p>
    <w:tbl>
      <w:tblPr>
        <w:tblLayout w:type="fixed"/>
        <w:tblInd w:w="0" w:type="dxa"/>
        <w:tblCellMar>
          <w:top w:w="0" w:type="dxa"/>
          <w:left w:w="0" w:type="dxa"/>
          <w:bottom w:w="0" w:type="dxa"/>
          <w:right w:w="0" w:type="dxa"/>
        </w:tblCellMar>
      </w:tblPr>
      <w:tr>
        <w:trPr>
          <w:trHeight w:val="155"/>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Key Financial Results</w:t>
            </w:r>
          </w:p>
        </w:tc>
        <w:tc>
          <w:tcPr>
            <w:tcW w:w="8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GAAP</w:t>
            </w: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Non-GAAP</w:t>
            </w: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700" w:type="dxa"/>
            <w:vAlign w:val="bottom"/>
            <w:vMerge w:val="continue"/>
          </w:tcPr>
          <w:p>
            <w:pPr>
              <w:spacing w:after="0"/>
              <w:rPr>
                <w:sz w:val="12"/>
                <w:szCs w:val="12"/>
                <w:color w:val="auto"/>
              </w:rPr>
            </w:pPr>
          </w:p>
        </w:tc>
        <w:tc>
          <w:tcPr>
            <w:tcW w:w="1340" w:type="dxa"/>
            <w:vAlign w:val="bottom"/>
            <w:gridSpan w:val="2"/>
          </w:tcPr>
          <w:p>
            <w:pPr>
              <w:jc w:val="right"/>
              <w:ind w:right="330"/>
              <w:spacing w:after="0" w:line="142" w:lineRule="exact"/>
              <w:rPr>
                <w:sz w:val="20"/>
                <w:szCs w:val="20"/>
                <w:color w:val="auto"/>
              </w:rPr>
            </w:pPr>
            <w:r>
              <w:rPr>
                <w:rFonts w:ascii="Times New Roman" w:cs="Times New Roman" w:eastAsia="Times New Roman" w:hAnsi="Times New Roman"/>
                <w:sz w:val="14"/>
                <w:szCs w:val="14"/>
                <w:b w:val="1"/>
                <w:bCs w:val="1"/>
                <w:color w:val="auto"/>
              </w:rPr>
              <w:t>Q1 2026</w:t>
            </w:r>
          </w:p>
        </w:tc>
        <w:tc>
          <w:tcPr>
            <w:tcW w:w="12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Q4 2025</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Q1 2025</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Q1 2026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Q4 2025</w:t>
            </w:r>
          </w:p>
        </w:tc>
        <w:tc>
          <w:tcPr>
            <w:tcW w:w="260" w:type="dxa"/>
            <w:vAlign w:val="bottom"/>
          </w:tcPr>
          <w:p>
            <w:pPr>
              <w:spacing w:after="0"/>
              <w:rPr>
                <w:sz w:val="12"/>
                <w:szCs w:val="12"/>
                <w:color w:val="auto"/>
              </w:rPr>
            </w:pPr>
          </w:p>
        </w:tc>
        <w:tc>
          <w:tcPr>
            <w:tcW w:w="1040" w:type="dxa"/>
            <w:vAlign w:val="bottom"/>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Q1 2025</w:t>
            </w: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w w:val="97"/>
              </w:rPr>
              <w:t>(Unaudited, in millions,</w:t>
            </w:r>
          </w:p>
        </w:tc>
        <w:tc>
          <w:tcPr>
            <w:tcW w:w="140" w:type="dxa"/>
            <w:vAlign w:val="bottom"/>
          </w:tcPr>
          <w:p>
            <w:pPr>
              <w:spacing w:after="0"/>
              <w:rPr>
                <w:sz w:val="12"/>
                <w:szCs w:val="12"/>
                <w:color w:val="auto"/>
              </w:rPr>
            </w:pPr>
          </w:p>
        </w:tc>
        <w:tc>
          <w:tcPr>
            <w:tcW w:w="13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except per share data)</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820" w:type="dxa"/>
            <w:vAlign w:val="bottom"/>
            <w:shd w:val="clear" w:color="auto" w:fill="CFF0FC"/>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8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4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Operating profit </w:t>
            </w:r>
            <w:r>
              <w:rPr>
                <w:rFonts w:ascii="Times New Roman" w:cs="Times New Roman" w:eastAsia="Times New Roman" w:hAnsi="Times New Roman"/>
                <w:sz w:val="24"/>
                <w:szCs w:val="24"/>
                <w:color w:val="auto"/>
                <w:vertAlign w:val="superscript"/>
              </w:rPr>
              <w:t>(1)</w:t>
            </w:r>
          </w:p>
        </w:tc>
        <w:tc>
          <w:tcPr>
            <w:tcW w:w="82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820" w:type="dxa"/>
            <w:vAlign w:val="bottom"/>
            <w:shd w:val="clear" w:color="auto" w:fill="CFF0FC"/>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8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4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3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351"/>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Other Financial Information</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Q1 2026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Q4 2025</w:t>
            </w:r>
          </w:p>
        </w:tc>
        <w:tc>
          <w:tcPr>
            <w:tcW w:w="260" w:type="dxa"/>
            <w:vAlign w:val="bottom"/>
          </w:tcPr>
          <w:p>
            <w:pPr>
              <w:spacing w:after="0"/>
              <w:rPr>
                <w:sz w:val="24"/>
                <w:szCs w:val="24"/>
                <w:color w:val="auto"/>
              </w:rPr>
            </w:pPr>
          </w:p>
        </w:tc>
        <w:tc>
          <w:tcPr>
            <w:tcW w:w="10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Q1 2025</w:t>
            </w: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w w:val="96"/>
              </w:rPr>
              <w:t>(Unaudited, in millions)</w:t>
            </w: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Bookings for the quarter</w:t>
            </w: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3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Backlog and deferred revenue as of quarter end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as of quarter end</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3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Explanations regarding our use of Non-GAAP financial measures and related definitions, and reconciliations of our GAAP and Non-GAAP measures, are provided in the sections below entitled “Use of Non-GAAP Financial Measures” and “GAAP to Non-GAAP Reconciliations.”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16884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stranded costs of approximately $2.3 million in Q1 2026, $3.0 million in Q4 2025, and $2.0 million in Q1 2025.</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GAAP Financial Guidance for Continuing Operations - Broadband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(Unaudited, in millions, except percentages and per share data)</w:t>
            </w:r>
          </w:p>
        </w:tc>
        <w:tc>
          <w:tcPr>
            <w:tcW w:w="54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4"/>
          </w:tcPr>
          <w:p>
            <w:pPr>
              <w:jc w:val="center"/>
              <w:ind w:right="453"/>
              <w:spacing w:after="0"/>
              <w:rPr>
                <w:sz w:val="20"/>
                <w:szCs w:val="20"/>
                <w:color w:val="auto"/>
              </w:rPr>
            </w:pPr>
            <w:r>
              <w:rPr>
                <w:rFonts w:ascii="Times New Roman" w:cs="Times New Roman" w:eastAsia="Times New Roman" w:hAnsi="Times New Roman"/>
                <w:sz w:val="14"/>
                <w:szCs w:val="14"/>
                <w:b w:val="1"/>
                <w:bCs w:val="1"/>
                <w:color w:val="auto"/>
              </w:rPr>
              <w:t xml:space="preserve">Q2 2026 GAAP Financial Guidance </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895"/>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2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893"/>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0" w:type="dxa"/>
            <w:vAlign w:val="bottom"/>
          </w:tcPr>
          <w:p>
            <w:pPr>
              <w:spacing w:after="0"/>
              <w:rPr>
                <w:sz w:val="1"/>
                <w:szCs w:val="1"/>
                <w:color w:val="auto"/>
              </w:rPr>
            </w:pPr>
          </w:p>
        </w:tc>
      </w:tr>
      <w:tr>
        <w:trPr>
          <w:trHeight w:val="209"/>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18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6540" w:type="dxa"/>
            <w:vAlign w:val="bottom"/>
          </w:tcPr>
          <w:p>
            <w:pPr>
              <w:spacing w:after="0" w:line="216" w:lineRule="exact"/>
              <w:rPr>
                <w:sz w:val="20"/>
                <w:szCs w:val="20"/>
                <w:color w:val="auto"/>
              </w:rPr>
            </w:pPr>
            <w:r>
              <w:rPr>
                <w:rFonts w:ascii="Times New Roman" w:cs="Times New Roman" w:eastAsia="Times New Roman" w:hAnsi="Times New Roman"/>
                <w:sz w:val="18"/>
                <w:szCs w:val="18"/>
                <w:i w:val="1"/>
                <w:iCs w:val="1"/>
                <w:color w:val="auto"/>
              </w:rPr>
              <w:t xml:space="preserve">Gross margin % </w:t>
            </w:r>
            <w:r>
              <w:rPr>
                <w:rFonts w:ascii="Times New Roman" w:cs="Times New Roman" w:eastAsia="Times New Roman" w:hAnsi="Times New Roman"/>
                <w:sz w:val="24"/>
                <w:szCs w:val="24"/>
                <w:i w:val="1"/>
                <w:iCs w:val="1"/>
                <w:color w:val="auto"/>
                <w:vertAlign w:val="superscript"/>
              </w:rPr>
              <w:t>(2)</w:t>
            </w:r>
          </w:p>
        </w:tc>
        <w:tc>
          <w:tcPr>
            <w:tcW w:w="5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52.0%</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53.0%</w:t>
            </w: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Operating profit </w:t>
            </w:r>
            <w:r>
              <w:rPr>
                <w:rFonts w:ascii="Times New Roman" w:cs="Times New Roman" w:eastAsia="Times New Roman" w:hAnsi="Times New Roman"/>
                <w:sz w:val="24"/>
                <w:szCs w:val="24"/>
                <w:color w:val="auto"/>
                <w:vertAlign w:val="superscript"/>
              </w:rPr>
              <w:t>(3)</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18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Tax rate</w:t>
            </w:r>
          </w:p>
        </w:tc>
        <w:tc>
          <w:tcPr>
            <w:tcW w:w="5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33.0%</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33.0%</w:t>
            </w: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18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319"/>
        </w:trPr>
        <w:tc>
          <w:tcPr>
            <w:tcW w:w="6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Shares </w:t>
            </w:r>
            <w:r>
              <w:rPr>
                <w:rFonts w:ascii="Times New Roman" w:cs="Times New Roman" w:eastAsia="Times New Roman" w:hAnsi="Times New Roman"/>
                <w:sz w:val="24"/>
                <w:szCs w:val="24"/>
                <w:i w:val="1"/>
                <w:iCs w:val="1"/>
                <w:color w:val="auto"/>
                <w:vertAlign w:val="superscript"/>
              </w:rPr>
              <w:t>(4)</w:t>
            </w:r>
          </w:p>
        </w:tc>
        <w:tc>
          <w:tcPr>
            <w:tcW w:w="5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109.1</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109.1</w:t>
            </w:r>
          </w:p>
        </w:tc>
        <w:tc>
          <w:tcPr>
            <w:tcW w:w="0" w:type="dxa"/>
            <w:vAlign w:val="bottom"/>
          </w:tcPr>
          <w:p>
            <w:pPr>
              <w:spacing w:after="0"/>
              <w:rPr>
                <w:sz w:val="1"/>
                <w:szCs w:val="1"/>
                <w:color w:val="auto"/>
              </w:rPr>
            </w:pPr>
          </w:p>
        </w:tc>
      </w:tr>
      <w:tr>
        <w:trPr>
          <w:trHeight w:val="289"/>
        </w:trPr>
        <w:tc>
          <w:tcPr>
            <w:tcW w:w="6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(Unaudited, in millions, except percentages and per share data)</w:t>
            </w:r>
          </w:p>
        </w:tc>
        <w:tc>
          <w:tcPr>
            <w:tcW w:w="5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center"/>
              <w:ind w:left="655"/>
              <w:spacing w:after="0"/>
              <w:rPr>
                <w:sz w:val="20"/>
                <w:szCs w:val="20"/>
                <w:color w:val="auto"/>
              </w:rPr>
            </w:pPr>
            <w:r>
              <w:rPr>
                <w:rFonts w:ascii="Times New Roman" w:cs="Times New Roman" w:eastAsia="Times New Roman" w:hAnsi="Times New Roman"/>
                <w:sz w:val="14"/>
                <w:szCs w:val="14"/>
                <w:b w:val="1"/>
                <w:bCs w:val="1"/>
                <w:color w:val="auto"/>
              </w:rPr>
              <w:t xml:space="preserve">2026 GAAP Financial Guidance </w:t>
            </w:r>
            <w:r>
              <w:rPr>
                <w:rFonts w:ascii="Times New Roman" w:cs="Times New Roman" w:eastAsia="Times New Roman" w:hAnsi="Times New Roman"/>
                <w:sz w:val="19"/>
                <w:szCs w:val="19"/>
                <w:b w:val="1"/>
                <w:bCs w:val="1"/>
                <w:color w:val="auto"/>
                <w:vertAlign w:val="superscript"/>
              </w:rPr>
              <w:t>(1)</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895"/>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2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893"/>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0" w:type="dxa"/>
            <w:vAlign w:val="bottom"/>
          </w:tcPr>
          <w:p>
            <w:pPr>
              <w:spacing w:after="0"/>
              <w:rPr>
                <w:sz w:val="1"/>
                <w:szCs w:val="1"/>
                <w:color w:val="auto"/>
              </w:rPr>
            </w:pPr>
          </w:p>
        </w:tc>
      </w:tr>
      <w:tr>
        <w:trPr>
          <w:trHeight w:val="156"/>
        </w:trPr>
        <w:tc>
          <w:tcPr>
            <w:tcW w:w="65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Net revenue</w:t>
            </w:r>
          </w:p>
        </w:tc>
        <w:tc>
          <w:tcPr>
            <w:tcW w:w="540" w:type="dxa"/>
            <w:vAlign w:val="bottom"/>
          </w:tcPr>
          <w:p>
            <w:pPr>
              <w:jc w:val="right"/>
              <w:ind w:right="35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475</w:t>
            </w:r>
          </w:p>
        </w:tc>
        <w:tc>
          <w:tcPr>
            <w:tcW w:w="1180" w:type="dxa"/>
            <w:vAlign w:val="bottom"/>
            <w:gridSpan w:val="2"/>
          </w:tcPr>
          <w:p>
            <w:pPr>
              <w:jc w:val="right"/>
              <w:ind w:right="860"/>
              <w:spacing w:after="0" w:line="15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8"/>
        </w:trPr>
        <w:tc>
          <w:tcPr>
            <w:tcW w:w="6540" w:type="dxa"/>
            <w:vAlign w:val="bottom"/>
          </w:tcPr>
          <w:p>
            <w:pPr>
              <w:spacing w:after="0" w:line="218" w:lineRule="exact"/>
              <w:rPr>
                <w:sz w:val="20"/>
                <w:szCs w:val="20"/>
                <w:color w:val="auto"/>
              </w:rPr>
            </w:pPr>
            <w:r>
              <w:rPr>
                <w:rFonts w:ascii="Times New Roman" w:cs="Times New Roman" w:eastAsia="Times New Roman" w:hAnsi="Times New Roman"/>
                <w:sz w:val="18"/>
                <w:szCs w:val="18"/>
                <w:i w:val="1"/>
                <w:iCs w:val="1"/>
                <w:color w:val="auto"/>
              </w:rPr>
              <w:t xml:space="preserve">Gross margin % </w:t>
            </w:r>
            <w:r>
              <w:rPr>
                <w:rFonts w:ascii="Times New Roman" w:cs="Times New Roman" w:eastAsia="Times New Roman" w:hAnsi="Times New Roman"/>
                <w:sz w:val="24"/>
                <w:szCs w:val="24"/>
                <w:i w:val="1"/>
                <w:iCs w:val="1"/>
                <w:color w:val="auto"/>
                <w:vertAlign w:val="superscript"/>
              </w:rPr>
              <w:t>(2)</w:t>
            </w:r>
          </w:p>
        </w:tc>
        <w:tc>
          <w:tcPr>
            <w:tcW w:w="5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49.9%</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51.3%</w:t>
            </w:r>
          </w:p>
        </w:tc>
        <w:tc>
          <w:tcPr>
            <w:tcW w:w="0" w:type="dxa"/>
            <w:vAlign w:val="bottom"/>
          </w:tcPr>
          <w:p>
            <w:pPr>
              <w:spacing w:after="0"/>
              <w:rPr>
                <w:sz w:val="1"/>
                <w:szCs w:val="1"/>
                <w:color w:val="auto"/>
              </w:rPr>
            </w:pPr>
          </w:p>
        </w:tc>
      </w:tr>
      <w:tr>
        <w:trPr>
          <w:trHeight w:val="268"/>
        </w:trPr>
        <w:tc>
          <w:tcPr>
            <w:tcW w:w="654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Operating profit </w:t>
            </w:r>
            <w:r>
              <w:rPr>
                <w:rFonts w:ascii="Times New Roman" w:cs="Times New Roman" w:eastAsia="Times New Roman" w:hAnsi="Times New Roman"/>
                <w:sz w:val="24"/>
                <w:szCs w:val="24"/>
                <w:color w:val="auto"/>
                <w:vertAlign w:val="superscript"/>
              </w:rPr>
              <w:t>(3)</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1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Tax rate</w:t>
            </w:r>
          </w:p>
        </w:tc>
        <w:tc>
          <w:tcPr>
            <w:tcW w:w="5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33.0%</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33.0%</w:t>
            </w:r>
          </w:p>
        </w:tc>
        <w:tc>
          <w:tcPr>
            <w:tcW w:w="0" w:type="dxa"/>
            <w:vAlign w:val="bottom"/>
          </w:tcPr>
          <w:p>
            <w:pPr>
              <w:spacing w:after="0"/>
              <w:rPr>
                <w:sz w:val="1"/>
                <w:szCs w:val="1"/>
                <w:color w:val="auto"/>
              </w:rPr>
            </w:pPr>
          </w:p>
        </w:tc>
      </w:tr>
      <w:tr>
        <w:trPr>
          <w:trHeight w:val="162"/>
        </w:trPr>
        <w:tc>
          <w:tcPr>
            <w:tcW w:w="654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Net income per share</w:t>
            </w:r>
          </w:p>
        </w:tc>
        <w:tc>
          <w:tcPr>
            <w:tcW w:w="540" w:type="dxa"/>
            <w:vAlign w:val="bottom"/>
          </w:tcPr>
          <w:p>
            <w:pPr>
              <w:jc w:val="right"/>
              <w:ind w:right="350"/>
              <w:spacing w:after="0" w:line="162" w:lineRule="exact"/>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0.36</w:t>
            </w:r>
          </w:p>
        </w:tc>
        <w:tc>
          <w:tcPr>
            <w:tcW w:w="1180" w:type="dxa"/>
            <w:vAlign w:val="bottom"/>
            <w:gridSpan w:val="2"/>
          </w:tcPr>
          <w:p>
            <w:pPr>
              <w:jc w:val="right"/>
              <w:ind w:right="86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319"/>
        </w:trPr>
        <w:tc>
          <w:tcPr>
            <w:tcW w:w="6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Shares </w:t>
            </w:r>
            <w:r>
              <w:rPr>
                <w:rFonts w:ascii="Times New Roman" w:cs="Times New Roman" w:eastAsia="Times New Roman" w:hAnsi="Times New Roman"/>
                <w:sz w:val="24"/>
                <w:szCs w:val="24"/>
                <w:i w:val="1"/>
                <w:iCs w:val="1"/>
                <w:color w:val="auto"/>
                <w:vertAlign w:val="superscript"/>
              </w:rPr>
              <w:t>(4)</w:t>
            </w:r>
          </w:p>
        </w:tc>
        <w:tc>
          <w:tcPr>
            <w:tcW w:w="5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110.0</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110.0</w:t>
            </w:r>
          </w:p>
        </w:tc>
        <w:tc>
          <w:tcPr>
            <w:tcW w:w="0" w:type="dxa"/>
            <w:vAlign w:val="bottom"/>
          </w:tcPr>
          <w:p>
            <w:pPr>
              <w:spacing w:after="0"/>
              <w:rPr>
                <w:sz w:val="1"/>
                <w:szCs w:val="1"/>
                <w:color w:val="auto"/>
              </w:rPr>
            </w:pPr>
          </w:p>
        </w:tc>
      </w:tr>
      <w:tr>
        <w:trPr>
          <w:trHeight w:val="599"/>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Financial Guidance for Continuing Operations - Broadband</w:t>
            </w:r>
            <w:r>
              <w:rPr>
                <w:rFonts w:ascii="Times New Roman" w:cs="Times New Roman" w:eastAsia="Times New Roman" w:hAnsi="Times New Roman"/>
                <w:sz w:val="9"/>
                <w:szCs w:val="9"/>
                <w:color w:val="FFFFFF"/>
              </w:rPr>
              <w:t>3</w:t>
            </w: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(Unaudited, in millions, except percentages and per share data)</w:t>
            </w:r>
          </w:p>
        </w:tc>
        <w:tc>
          <w:tcPr>
            <w:tcW w:w="5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4"/>
          </w:tcPr>
          <w:p>
            <w:pPr>
              <w:jc w:val="center"/>
              <w:ind w:right="473"/>
              <w:spacing w:after="0"/>
              <w:rPr>
                <w:sz w:val="20"/>
                <w:szCs w:val="20"/>
                <w:color w:val="auto"/>
              </w:rPr>
            </w:pPr>
            <w:r>
              <w:rPr>
                <w:rFonts w:ascii="Times New Roman" w:cs="Times New Roman" w:eastAsia="Times New Roman" w:hAnsi="Times New Roman"/>
                <w:sz w:val="14"/>
                <w:szCs w:val="14"/>
                <w:b w:val="1"/>
                <w:bCs w:val="1"/>
                <w:color w:val="auto"/>
              </w:rPr>
              <w:t xml:space="preserve">Q2 2026 Non-GAAP Financial Guidance </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895"/>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2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893"/>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0" w:type="dxa"/>
            <w:vAlign w:val="bottom"/>
          </w:tcPr>
          <w:p>
            <w:pPr>
              <w:spacing w:after="0"/>
              <w:rPr>
                <w:sz w:val="1"/>
                <w:szCs w:val="1"/>
                <w:color w:val="auto"/>
              </w:rPr>
            </w:pPr>
          </w:p>
        </w:tc>
      </w:tr>
      <w:tr>
        <w:trPr>
          <w:trHeight w:val="158"/>
        </w:trPr>
        <w:tc>
          <w:tcPr>
            <w:tcW w:w="6540" w:type="dxa"/>
            <w:vAlign w:val="bottom"/>
          </w:tcPr>
          <w:p>
            <w:pPr>
              <w:spacing w:after="0" w:line="157" w:lineRule="exact"/>
              <w:rPr>
                <w:sz w:val="20"/>
                <w:szCs w:val="20"/>
                <w:color w:val="auto"/>
              </w:rPr>
            </w:pPr>
            <w:r>
              <w:rPr>
                <w:rFonts w:ascii="Times New Roman" w:cs="Times New Roman" w:eastAsia="Times New Roman" w:hAnsi="Times New Roman"/>
                <w:sz w:val="18"/>
                <w:szCs w:val="18"/>
                <w:i w:val="1"/>
                <w:iCs w:val="1"/>
                <w:color w:val="auto"/>
              </w:rPr>
              <w:t>Gross margin %</w:t>
            </w:r>
          </w:p>
        </w:tc>
        <w:tc>
          <w:tcPr>
            <w:tcW w:w="540" w:type="dxa"/>
            <w:vAlign w:val="bottom"/>
          </w:tcPr>
          <w:p>
            <w:pPr>
              <w:spacing w:after="0"/>
              <w:rPr>
                <w:sz w:val="13"/>
                <w:szCs w:val="13"/>
                <w:color w:val="auto"/>
              </w:rPr>
            </w:pPr>
          </w:p>
        </w:tc>
        <w:tc>
          <w:tcPr>
            <w:tcW w:w="16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i w:val="1"/>
                <w:iCs w:val="1"/>
                <w:color w:val="auto"/>
              </w:rPr>
              <w:t>52.0%</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0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i w:val="1"/>
                <w:iCs w:val="1"/>
                <w:color w:val="auto"/>
              </w:rPr>
              <w:t>53.0%</w:t>
            </w:r>
          </w:p>
        </w:tc>
        <w:tc>
          <w:tcPr>
            <w:tcW w:w="0" w:type="dxa"/>
            <w:vAlign w:val="bottom"/>
          </w:tcPr>
          <w:p>
            <w:pPr>
              <w:spacing w:after="0"/>
              <w:rPr>
                <w:sz w:val="1"/>
                <w:szCs w:val="1"/>
                <w:color w:val="auto"/>
              </w:rPr>
            </w:pPr>
          </w:p>
        </w:tc>
      </w:tr>
      <w:tr>
        <w:trPr>
          <w:trHeight w:val="216"/>
        </w:trPr>
        <w:tc>
          <w:tcPr>
            <w:tcW w:w="65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24"/>
                <w:szCs w:val="24"/>
                <w:color w:val="auto"/>
                <w:vertAlign w:val="superscript"/>
              </w:rPr>
              <w:t>(2)</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1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68"/>
        </w:trPr>
        <w:tc>
          <w:tcPr>
            <w:tcW w:w="654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Operating profit </w:t>
            </w:r>
            <w:r>
              <w:rPr>
                <w:rFonts w:ascii="Times New Roman" w:cs="Times New Roman" w:eastAsia="Times New Roman" w:hAnsi="Times New Roman"/>
                <w:sz w:val="24"/>
                <w:szCs w:val="24"/>
                <w:color w:val="auto"/>
                <w:vertAlign w:val="superscript"/>
              </w:rPr>
              <w:t>(3)</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1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Tax rate</w:t>
            </w:r>
          </w:p>
        </w:tc>
        <w:tc>
          <w:tcPr>
            <w:tcW w:w="5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24.5%</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24.5%</w:t>
            </w:r>
          </w:p>
        </w:tc>
        <w:tc>
          <w:tcPr>
            <w:tcW w:w="0" w:type="dxa"/>
            <w:vAlign w:val="bottom"/>
          </w:tcPr>
          <w:p>
            <w:pPr>
              <w:spacing w:after="0"/>
              <w:rPr>
                <w:sz w:val="1"/>
                <w:szCs w:val="1"/>
                <w:color w:val="auto"/>
              </w:rPr>
            </w:pPr>
          </w:p>
        </w:tc>
      </w:tr>
      <w:tr>
        <w:trPr>
          <w:trHeight w:val="162"/>
        </w:trPr>
        <w:tc>
          <w:tcPr>
            <w:tcW w:w="654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Net income per share</w:t>
            </w:r>
          </w:p>
        </w:tc>
        <w:tc>
          <w:tcPr>
            <w:tcW w:w="540" w:type="dxa"/>
            <w:vAlign w:val="bottom"/>
          </w:tcPr>
          <w:p>
            <w:pPr>
              <w:jc w:val="right"/>
              <w:ind w:right="350"/>
              <w:spacing w:after="0" w:line="162" w:lineRule="exact"/>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0.15</w:t>
            </w:r>
          </w:p>
        </w:tc>
        <w:tc>
          <w:tcPr>
            <w:tcW w:w="1180" w:type="dxa"/>
            <w:vAlign w:val="bottom"/>
            <w:gridSpan w:val="2"/>
          </w:tcPr>
          <w:p>
            <w:pPr>
              <w:jc w:val="right"/>
              <w:ind w:right="86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319"/>
        </w:trPr>
        <w:tc>
          <w:tcPr>
            <w:tcW w:w="6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Shares </w:t>
            </w:r>
            <w:r>
              <w:rPr>
                <w:rFonts w:ascii="Times New Roman" w:cs="Times New Roman" w:eastAsia="Times New Roman" w:hAnsi="Times New Roman"/>
                <w:sz w:val="24"/>
                <w:szCs w:val="24"/>
                <w:i w:val="1"/>
                <w:iCs w:val="1"/>
                <w:color w:val="auto"/>
                <w:vertAlign w:val="superscript"/>
              </w:rPr>
              <w:t>(4)</w:t>
            </w:r>
          </w:p>
        </w:tc>
        <w:tc>
          <w:tcPr>
            <w:tcW w:w="5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109.1</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109.1</w:t>
            </w:r>
          </w:p>
        </w:tc>
        <w:tc>
          <w:tcPr>
            <w:tcW w:w="0" w:type="dxa"/>
            <w:vAlign w:val="bottom"/>
          </w:tcPr>
          <w:p>
            <w:pPr>
              <w:spacing w:after="0"/>
              <w:rPr>
                <w:sz w:val="1"/>
                <w:szCs w:val="1"/>
                <w:color w:val="auto"/>
              </w:rPr>
            </w:pPr>
          </w:p>
        </w:tc>
      </w:tr>
      <w:tr>
        <w:trPr>
          <w:trHeight w:val="397"/>
        </w:trPr>
        <w:tc>
          <w:tcPr>
            <w:tcW w:w="6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(Unaudited, in millions, except percentages and per share data)</w:t>
            </w:r>
          </w:p>
        </w:tc>
        <w:tc>
          <w:tcPr>
            <w:tcW w:w="5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4"/>
          </w:tcPr>
          <w:p>
            <w:pPr>
              <w:jc w:val="center"/>
              <w:ind w:right="453"/>
              <w:spacing w:after="0"/>
              <w:rPr>
                <w:sz w:val="20"/>
                <w:szCs w:val="20"/>
                <w:color w:val="auto"/>
              </w:rPr>
            </w:pPr>
            <w:r>
              <w:rPr>
                <w:rFonts w:ascii="Times New Roman" w:cs="Times New Roman" w:eastAsia="Times New Roman" w:hAnsi="Times New Roman"/>
                <w:sz w:val="14"/>
                <w:szCs w:val="14"/>
                <w:b w:val="1"/>
                <w:bCs w:val="1"/>
                <w:color w:val="auto"/>
              </w:rPr>
              <w:t xml:space="preserve">2026 Non-GAAP Financial Guidance </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895"/>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2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893"/>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0" w:type="dxa"/>
            <w:vAlign w:val="bottom"/>
          </w:tcPr>
          <w:p>
            <w:pPr>
              <w:spacing w:after="0"/>
              <w:rPr>
                <w:sz w:val="1"/>
                <w:szCs w:val="1"/>
                <w:color w:val="auto"/>
              </w:rPr>
            </w:pPr>
          </w:p>
        </w:tc>
      </w:tr>
      <w:tr>
        <w:trPr>
          <w:trHeight w:val="158"/>
        </w:trPr>
        <w:tc>
          <w:tcPr>
            <w:tcW w:w="6540" w:type="dxa"/>
            <w:vAlign w:val="bottom"/>
          </w:tcPr>
          <w:p>
            <w:pPr>
              <w:spacing w:after="0" w:line="157" w:lineRule="exact"/>
              <w:rPr>
                <w:sz w:val="20"/>
                <w:szCs w:val="20"/>
                <w:color w:val="auto"/>
              </w:rPr>
            </w:pPr>
            <w:r>
              <w:rPr>
                <w:rFonts w:ascii="Times New Roman" w:cs="Times New Roman" w:eastAsia="Times New Roman" w:hAnsi="Times New Roman"/>
                <w:sz w:val="18"/>
                <w:szCs w:val="18"/>
                <w:i w:val="1"/>
                <w:iCs w:val="1"/>
                <w:color w:val="auto"/>
              </w:rPr>
              <w:t>Gross margin %</w:t>
            </w:r>
          </w:p>
        </w:tc>
        <w:tc>
          <w:tcPr>
            <w:tcW w:w="540" w:type="dxa"/>
            <w:vAlign w:val="bottom"/>
          </w:tcPr>
          <w:p>
            <w:pPr>
              <w:spacing w:after="0"/>
              <w:rPr>
                <w:sz w:val="13"/>
                <w:szCs w:val="13"/>
                <w:color w:val="auto"/>
              </w:rPr>
            </w:pPr>
          </w:p>
        </w:tc>
        <w:tc>
          <w:tcPr>
            <w:tcW w:w="16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i w:val="1"/>
                <w:iCs w:val="1"/>
                <w:color w:val="auto"/>
              </w:rPr>
              <w:t>50.0%</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0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i w:val="1"/>
                <w:iCs w:val="1"/>
                <w:color w:val="auto"/>
              </w:rPr>
              <w:t>51.5%</w:t>
            </w:r>
          </w:p>
        </w:tc>
        <w:tc>
          <w:tcPr>
            <w:tcW w:w="0" w:type="dxa"/>
            <w:vAlign w:val="bottom"/>
          </w:tcPr>
          <w:p>
            <w:pPr>
              <w:spacing w:after="0"/>
              <w:rPr>
                <w:sz w:val="1"/>
                <w:szCs w:val="1"/>
                <w:color w:val="auto"/>
              </w:rPr>
            </w:pPr>
          </w:p>
        </w:tc>
      </w:tr>
      <w:tr>
        <w:trPr>
          <w:trHeight w:val="216"/>
        </w:trPr>
        <w:tc>
          <w:tcPr>
            <w:tcW w:w="65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24"/>
                <w:szCs w:val="24"/>
                <w:color w:val="auto"/>
                <w:vertAlign w:val="superscript"/>
              </w:rPr>
              <w:t>(2)</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1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68"/>
        </w:trPr>
        <w:tc>
          <w:tcPr>
            <w:tcW w:w="654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Operating profit </w:t>
            </w:r>
            <w:r>
              <w:rPr>
                <w:rFonts w:ascii="Times New Roman" w:cs="Times New Roman" w:eastAsia="Times New Roman" w:hAnsi="Times New Roman"/>
                <w:sz w:val="24"/>
                <w:szCs w:val="24"/>
                <w:color w:val="auto"/>
                <w:vertAlign w:val="superscript"/>
              </w:rPr>
              <w:t>(3)</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1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Tax rate</w:t>
            </w:r>
          </w:p>
        </w:tc>
        <w:tc>
          <w:tcPr>
            <w:tcW w:w="5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24.5%</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24.5%</w:t>
            </w:r>
          </w:p>
        </w:tc>
        <w:tc>
          <w:tcPr>
            <w:tcW w:w="0" w:type="dxa"/>
            <w:vAlign w:val="bottom"/>
          </w:tcPr>
          <w:p>
            <w:pPr>
              <w:spacing w:after="0"/>
              <w:rPr>
                <w:sz w:val="1"/>
                <w:szCs w:val="1"/>
                <w:color w:val="auto"/>
              </w:rPr>
            </w:pPr>
          </w:p>
        </w:tc>
      </w:tr>
      <w:tr>
        <w:trPr>
          <w:trHeight w:val="162"/>
        </w:trPr>
        <w:tc>
          <w:tcPr>
            <w:tcW w:w="654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Net income per share</w:t>
            </w:r>
          </w:p>
        </w:tc>
        <w:tc>
          <w:tcPr>
            <w:tcW w:w="540" w:type="dxa"/>
            <w:vAlign w:val="bottom"/>
          </w:tcPr>
          <w:p>
            <w:pPr>
              <w:jc w:val="right"/>
              <w:ind w:right="350"/>
              <w:spacing w:after="0" w:line="162" w:lineRule="exact"/>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0.57</w:t>
            </w:r>
          </w:p>
        </w:tc>
        <w:tc>
          <w:tcPr>
            <w:tcW w:w="1180" w:type="dxa"/>
            <w:vAlign w:val="bottom"/>
            <w:gridSpan w:val="2"/>
          </w:tcPr>
          <w:p>
            <w:pPr>
              <w:jc w:val="right"/>
              <w:ind w:right="86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319"/>
        </w:trPr>
        <w:tc>
          <w:tcPr>
            <w:tcW w:w="6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Shares </w:t>
            </w:r>
            <w:r>
              <w:rPr>
                <w:rFonts w:ascii="Times New Roman" w:cs="Times New Roman" w:eastAsia="Times New Roman" w:hAnsi="Times New Roman"/>
                <w:sz w:val="24"/>
                <w:szCs w:val="24"/>
                <w:i w:val="1"/>
                <w:iCs w:val="1"/>
                <w:color w:val="auto"/>
                <w:vertAlign w:val="superscript"/>
              </w:rPr>
              <w:t>(4)</w:t>
            </w:r>
          </w:p>
        </w:tc>
        <w:tc>
          <w:tcPr>
            <w:tcW w:w="5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110.0</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16884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8465" cy="508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-3604895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-3330575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-3056255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-2070735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-1796415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-1522095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-853440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-579120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81"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“Use of Non-GAAP Financial Measures” and “GAAP to Non-GAAP Reconciliations on Financial Guidance” below. Components may not sum to total due to rounding.</w:t>
      </w:r>
    </w:p>
    <w:p>
      <w:pPr>
        <w:spacing w:after="0" w:line="3" w:lineRule="exact"/>
        <w:rPr>
          <w:rFonts w:ascii="Times New Roman" w:cs="Times New Roman" w:eastAsia="Times New Roman" w:hAnsi="Times New Roman"/>
          <w:sz w:val="14"/>
          <w:szCs w:val="14"/>
          <w:color w:val="auto"/>
        </w:rPr>
      </w:pPr>
    </w:p>
    <w:p>
      <w:pPr>
        <w:ind w:left="220" w:hanging="212"/>
        <w:spacing w:after="0" w:line="221" w:lineRule="auto"/>
        <w:tabs>
          <w:tab w:leader="none" w:pos="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approximately $0.6 million and $2.3 million of estimated tariff impacts for Q2 and FY 2026, respectively.</w:t>
      </w:r>
    </w:p>
    <w:p>
      <w:pPr>
        <w:ind w:left="220" w:hanging="212"/>
        <w:spacing w:after="0" w:line="221" w:lineRule="auto"/>
        <w:tabs>
          <w:tab w:leader="none" w:pos="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approximately $2.3 million and $10.0 million of stranded costs associated with the Video divestiture for Q2 and FY 2026, respectively.</w:t>
      </w:r>
    </w:p>
    <w:p>
      <w:pPr>
        <w:ind w:left="220" w:hanging="212"/>
        <w:spacing w:after="0"/>
        <w:tabs>
          <w:tab w:leader="none" w:pos="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shares assumes stock price at $9.91 (Q1 2026 average price).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Harmonic will host a conference call to discuss its financial results at 2:00 p.m. PT (5:00 p.m. ET) on Monday, May 11, 2026. The live webcast will be available on the Harmonic Investor Relations website at http://investor.harmonicinc.com. To participate via telephone, please register in advance using this link, https://register-conf.media-server.com/register/BIc5a3d9e206d54fe09fc0dbcd12efe1cb. A replay will be available after 5:00 p.m. PT on the same website.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Harmonic Inc.</w:t>
      </w:r>
    </w:p>
    <w:p>
      <w:pPr>
        <w:spacing w:after="0" w:line="1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Harmonic (Nasdaq: HLIT), the worldwide leader in virtualized broadband and video delivery solutions, enables media companies and service providers to deliver ultra-high-quality video streaming and broadcast services to consumers globally. The company revolutionized broadband networking via the industry’s first virtualized broadband solution, enabling operators to more flexibly deploy gigabit internet service to consumers’ homes and mobile devices. Whether simplifying OTT video delivery via innovative cloud and software platforms, or powering the delivery of gigabit internet services, Harmonic is changing the way media companies and service providers monetize live and on-demand content on every screen. More information is available at www.harmonicinc.com.</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Notice Regarding Forward-Looking Statements</w:t>
      </w:r>
    </w:p>
    <w:p>
      <w:pPr>
        <w:spacing w:after="0" w:line="16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This press release contains forward-looking statements within the meaning of Section 27A of the Securities Act of 1933 and Section 21E of the Securities Exchange Act of 1934, including, but not limited to, statements related to the timing of the pending sale of our Video business and anticipated benefits of the proposed transaction, and our expectations regarding: net revenue, gross margins, operating expenses, operating income (loss), tax expense and tax rate, and net income (loss) per diluted share. Our expectations regarding these matters may not materialize, and actual results in future periods are subject to risks and uncertainties that could cause actual results to differ materially from those projected. These risks include, but are not limited to, in no particular order, the following: the possibility that the pending sale of the Video business does not close due to closing conditions not being fulfilled; the pending transaction encounters unanticipated delays or is postponed or cancelled due to a material adverse event or change; anticipated benefits for Harmonic as a result of the pending transaction do not fully materialize; customer concentration and consolidation; loss of one or more key customers; delays or decreases in capital spending in the cable or telco industries; the possibility that our products will not generate sales that are commensurate with our expectations or that our cost of revenue or operating expenses may exceed our expectations; the market and technology trends underlying our Broadband business will not continue to develop in their current direction or pace; the impact of tariffs and general economic conditions on our sales and operations; the mix of products and services sold in various geographies and the effect it has on gross margins; our ability to develop new and enhanced products in a timely manner and market acceptance of our new or existing products; risks associated with our international operations; exchange rate fluctuations of the currencies in which we conduct business; risks associated with our </w:t>
      </w:r>
      <w:r>
        <w:rPr>
          <w:rFonts w:ascii="Times New Roman" w:cs="Times New Roman" w:eastAsia="Times New Roman" w:hAnsi="Times New Roman"/>
          <w:sz w:val="18"/>
          <w:szCs w:val="18"/>
          <w:color w:val="auto"/>
        </w:rPr>
        <w:t>cOS™</w:t>
      </w:r>
      <w:r>
        <w:rPr>
          <w:rFonts w:ascii="Times New Roman" w:cs="Times New Roman" w:eastAsia="Times New Roman" w:hAnsi="Times New Roman"/>
          <w:sz w:val="18"/>
          <w:szCs w:val="18"/>
          <w:i w:val="1"/>
          <w:iCs w:val="1"/>
          <w:color w:val="auto"/>
        </w:rPr>
        <w:t xml:space="preserve"> product solutions; dependence on various broadband industry trends; inventory management; the lack of timely availability or the impact of increases in the prices of parts or raw materials necessary to produce our products; the effect of competition, on both revenue and gross margins; difficulties associated with rapid technological changes in our markets; risks associated with unpredictable sales cycles; our dependence on contract manufacturers and sole or limited source suppliers; stock repurchases may not be conducted in the timeframe or in the manner we expect, or at all; and the impact on our business of natural disasters. In some cases, you can identify forward-looking statements by terminology such as, “may,” “will,” “should,” “expects,” “plans,” “anticipates,” “could,” “believes,” “intends,” “estimates,” “predicts,” “potential,” or “continue” or the negative of these terms or other comparable terminology. The forward-looking statements contained in this press release are also subject to other risks and uncertainties, including those more fully described in Harmonic's filings with the Securities and Exchange Commission, including our most recent Annual Report on Form 10-K for the year ended December 31, 2024, our most recent Quarterly Report on Form 10-Q and our Current Reports on Form 8-K. The forward-looking statements in this press release are based on information available to the Company as of the date hereof, and Harmonic disclaims any obligation to update any forward-looking statements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reports its financial results in accordance with accounting principles generally accepted in the United States (“GAAP” or referred to herein as “reported”). However, management believes that certain Non-GAAP financial measures provide management and other users with additional meaningful financial information that should be considered when assessing our ongoing performance. Our management regularly uses our supplemental Non-GAAP financial measures internally to understand, manage and evaluate our business, establish operating budgets, set internal measurement targets and make operating decisions.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 w:name="page8"/>
    <w:bookmarkEnd w:id="7"/>
    <w:p>
      <w:pPr>
        <w:ind w:right="60"/>
        <w:spacing w:after="0" w:line="258" w:lineRule="auto"/>
        <w:rPr>
          <w:sz w:val="20"/>
          <w:szCs w:val="20"/>
          <w:color w:val="auto"/>
        </w:rPr>
      </w:pPr>
      <w:r>
        <w:rPr>
          <w:rFonts w:ascii="Times New Roman" w:cs="Times New Roman" w:eastAsia="Times New Roman" w:hAnsi="Times New Roman"/>
          <w:sz w:val="18"/>
          <w:szCs w:val="18"/>
          <w:color w:val="auto"/>
        </w:rPr>
        <w:t>These Non-GAAP measures are not in accordance with, or an alternative for, measures prepared in accordance with generally accepted accounting principles and may be different from Non-GAAP measures used by other companies. In addition, these Non-GAAP measures are not based on any comprehensive set of accounting rules or principles. The Company believes that Non-GAAP measures have limitations in that they do not reflect all of the amounts associated with Harmonic's results of operations as determined in accordance with GAAP and that these measures should only be used to evaluate Harmonic's results of operations in conjunction with the corresponding GAAP measures.</w:t>
      </w:r>
    </w:p>
    <w:p>
      <w:pPr>
        <w:spacing w:after="0" w:line="1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believes that the presentation of Non-GAAP measures, when shown in conjunction with the corresponding GAAP measures, provide useful information to investors and management regarding financial and business trends relating to its financial condition and its historical and projected results of operations. Non-GAAP financial measures should be viewed in addition to, and not as an alternative to, the Company’s reported results prepared in accordance with GAAP.</w:t>
      </w:r>
    </w:p>
    <w:p>
      <w:pPr>
        <w:spacing w:after="0" w:line="11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Non-GAAP measures presented here are: Gross profit, operating expenses, income (loss) from operations, non-operating expenses and net income (loss), and net income (loss) per diluted share. The presentation of Non-GAAP information is not intended to be considered in isolation or as a substitute for results prepared in accordance with GAAP, and is not necessarily comparable to Non-GAAP results published by other companies. A reconciliation of the historical Non-GAAP financial measures discussed in this press release to the most directly comparable historical GAAP financial measures is included with the financial statements provided with this press release. The Non-GAAP adjustments described below have historically been excluded from our GAAP financial measures.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Non-GAAP financial measures reflect adjustments based on the following items, as well as the related income tax effects:</w:t>
      </w:r>
    </w:p>
    <w:p>
      <w:pPr>
        <w:spacing w:after="0" w:line="156"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 </w:t>
      </w:r>
      <w:r>
        <w:rPr>
          <w:rFonts w:ascii="Times New Roman" w:cs="Times New Roman" w:eastAsia="Times New Roman" w:hAnsi="Times New Roman"/>
          <w:sz w:val="18"/>
          <w:szCs w:val="18"/>
          <w:color w:val="auto"/>
        </w:rPr>
        <w:t>Although stock-based compensation is a key incentive offered to our employees, we continue to evaluate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excluding stock-based compensation expenses. We believe that management is limited in its ability to project the impact stock-based compensation would have on our operating results. In addition, for comparability purposes, we believe it is useful to provide a Non-GAAP financial measure that excludes stock-based compensation in order to better understand the long-term performance of our core business and to facilitate the comparison of our results to the results of our peer companies.</w:t>
      </w:r>
    </w:p>
    <w:p>
      <w:pPr>
        <w:spacing w:after="0" w:line="116"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Non-recurring advisory fees </w:t>
      </w:r>
      <w:r>
        <w:rPr>
          <w:rFonts w:ascii="Times New Roman" w:cs="Times New Roman" w:eastAsia="Times New Roman" w:hAnsi="Times New Roman"/>
          <w:sz w:val="18"/>
          <w:szCs w:val="18"/>
          <w:color w:val="auto"/>
        </w:rPr>
        <w:t>- There were non-recurring costs that we excluded from Non-GAAP results relating to professional accounting, tax and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associated with strategic corporate initiatives.</w:t>
      </w:r>
    </w:p>
    <w:p>
      <w:pPr>
        <w:spacing w:after="0" w:line="7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Discrete tax items and tax effect of Non-GAAP adjustments - </w:t>
      </w:r>
      <w:r>
        <w:rPr>
          <w:rFonts w:ascii="Times New Roman" w:cs="Times New Roman" w:eastAsia="Times New Roman" w:hAnsi="Times New Roman"/>
          <w:sz w:val="18"/>
          <w:szCs w:val="18"/>
          <w:color w:val="auto"/>
        </w:rPr>
        <w:t>The income tax effect of Non-GAAP adjustments relates to the tax effect of the adjustments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incorporate into Non-GAAP financial measures in order to provide a more meaningful measure of Non-GAAP net income. This non-recurring adjustment has been excluded from the Company’s non-GAAP tax rate and non-GAAP financial measures, as management believes exclusion of this item provides more meaningful period-to-period comparisons of ongoing operating performance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8220" w:type="dxa"/>
            <w:vAlign w:val="bottom"/>
          </w:tcPr>
          <w:p>
            <w:pPr>
              <w:spacing w:after="0"/>
              <w:rPr>
                <w:sz w:val="20"/>
                <w:szCs w:val="20"/>
                <w:color w:val="auto"/>
              </w:rPr>
            </w:pPr>
          </w:p>
        </w:tc>
      </w:tr>
      <w:tr>
        <w:trPr>
          <w:trHeight w:val="418"/>
        </w:trPr>
        <w:tc>
          <w:tcPr>
            <w:tcW w:w="3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Walter Jankovic</w:t>
            </w:r>
          </w:p>
        </w:tc>
        <w:tc>
          <w:tcPr>
            <w:tcW w:w="8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David Hanover</w:t>
            </w:r>
          </w:p>
        </w:tc>
      </w:tr>
      <w:tr>
        <w:trPr>
          <w:trHeight w:val="297"/>
        </w:trPr>
        <w:tc>
          <w:tcPr>
            <w:tcW w:w="3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8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Investor Relations</w:t>
            </w:r>
          </w:p>
        </w:tc>
      </w:tr>
      <w:tr>
        <w:trPr>
          <w:trHeight w:val="297"/>
        </w:trPr>
        <w:tc>
          <w:tcPr>
            <w:tcW w:w="3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Harmonic Inc.</w:t>
            </w:r>
          </w:p>
        </w:tc>
        <w:tc>
          <w:tcPr>
            <w:tcW w:w="8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Harmonic Inc.</w:t>
            </w:r>
          </w:p>
        </w:tc>
      </w:tr>
      <w:tr>
        <w:trPr>
          <w:trHeight w:val="297"/>
        </w:trPr>
        <w:tc>
          <w:tcPr>
            <w:tcW w:w="3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+1.408.490.6152</w:t>
            </w:r>
          </w:p>
        </w:tc>
        <w:tc>
          <w:tcPr>
            <w:tcW w:w="8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+1.212.896.1220</w:t>
            </w:r>
          </w:p>
        </w:tc>
      </w:tr>
      <w:tr>
        <w:trPr>
          <w:trHeight w:val="688"/>
        </w:trPr>
        <w:tc>
          <w:tcPr>
            <w:tcW w:w="3020" w:type="dxa"/>
            <w:vAlign w:val="bottom"/>
          </w:tcPr>
          <w:p>
            <w:pPr>
              <w:spacing w:after="0"/>
              <w:rPr>
                <w:sz w:val="24"/>
                <w:szCs w:val="24"/>
                <w:color w:val="auto"/>
              </w:rPr>
            </w:pPr>
          </w:p>
        </w:tc>
        <w:tc>
          <w:tcPr>
            <w:tcW w:w="82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5</w:t>
            </w:r>
          </w:p>
        </w:tc>
      </w:tr>
      <w:tr>
        <w:trPr>
          <w:trHeight w:val="439"/>
        </w:trPr>
        <w:tc>
          <w:tcPr>
            <w:tcW w:w="302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8" w:name="page9"/>
    <w:bookmarkEnd w:id="8"/>
    <w:p>
      <w:pPr>
        <w:ind w:left="5040"/>
        <w:spacing w:after="0"/>
        <w:rPr>
          <w:sz w:val="20"/>
          <w:szCs w:val="20"/>
          <w:color w:val="auto"/>
        </w:rPr>
      </w:pPr>
      <w:r>
        <w:rPr>
          <w:rFonts w:ascii="Times New Roman" w:cs="Times New Roman" w:eastAsia="Times New Roman" w:hAnsi="Times New Roman"/>
          <w:sz w:val="18"/>
          <w:szCs w:val="18"/>
          <w:b w:val="1"/>
          <w:bCs w:val="1"/>
          <w:color w:val="auto"/>
        </w:rPr>
        <w:t>Harmonic Inc.</w:t>
      </w:r>
    </w:p>
    <w:p>
      <w:pPr>
        <w:spacing w:after="0" w:line="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Preliminary Condensed Consolidated Balance Sheets</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(Unaudited, in thousands, except par value)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109,000</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124,105</w:t>
            </w:r>
          </w:p>
        </w:tc>
      </w:tr>
      <w:tr>
        <w:trPr>
          <w:trHeight w:val="198"/>
        </w:trPr>
        <w:tc>
          <w:tcPr>
            <w:tcW w:w="72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for credit losses of $362 and $227 as of April 3, 2026 and</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4"/>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85,935</w:t>
            </w: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51,200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47,840</w:t>
            </w: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w:t>
            </w:r>
          </w:p>
        </w:tc>
      </w:tr>
      <w:tr>
        <w:trPr>
          <w:trHeight w:val="216"/>
        </w:trPr>
        <w:tc>
          <w:tcPr>
            <w:tcW w:w="72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224,374</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223,961</w:t>
            </w:r>
          </w:p>
        </w:tc>
      </w:tr>
      <w:tr>
        <w:trPr>
          <w:trHeight w:val="21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494,371</w:t>
            </w:r>
          </w:p>
        </w:tc>
      </w:tr>
      <w:tr>
        <w:trPr>
          <w:trHeight w:val="216"/>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25,648</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13,687</w:t>
            </w:r>
          </w:p>
        </w:tc>
      </w:tr>
      <w:tr>
        <w:trPr>
          <w:trHeight w:val="216"/>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60,881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60,900</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102,050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104,043</w:t>
            </w:r>
          </w:p>
        </w:tc>
      </w:tr>
      <w:tr>
        <w:trPr>
          <w:trHeight w:val="216"/>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19,704</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19,834</w:t>
            </w:r>
          </w:p>
        </w:tc>
      </w:tr>
      <w:tr>
        <w:trPr>
          <w:trHeight w:val="20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705,306</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718,483</w:t>
            </w:r>
          </w:p>
        </w:tc>
      </w:tr>
      <w:tr>
        <w:trPr>
          <w:trHeight w:val="20"/>
        </w:trPr>
        <w:tc>
          <w:tcPr>
            <w:tcW w:w="7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2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w:t>
            </w: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23,093</w:t>
            </w: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31,519</w:t>
            </w: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w:t>
            </w: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52,908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48,288</w:t>
            </w: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to be disposed of</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87,334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85,671</w:t>
            </w:r>
          </w:p>
        </w:tc>
      </w:tr>
      <w:tr>
        <w:trPr>
          <w:trHeight w:val="210"/>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214,243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197,948</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108,403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109,140</w:t>
            </w:r>
          </w:p>
        </w:tc>
      </w:tr>
      <w:tr>
        <w:trPr>
          <w:trHeight w:val="216"/>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14,664</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14,209</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13,485</w:t>
            </w:r>
          </w:p>
        </w:tc>
      </w:tr>
      <w:tr>
        <w:trPr>
          <w:trHeight w:val="210"/>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350,152</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335,237</w:t>
            </w:r>
          </w:p>
        </w:tc>
      </w:tr>
      <w:tr>
        <w:trPr>
          <w:trHeight w:val="21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 $0.001 par value, 5,000 shares authorized; no shares issued or outstanding</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2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150,000 shares authorized; 108,478 and 111,186 shares issued</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4"/>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outstanding at April 3, 2026 and December 31, 2025, respectively</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2,475,698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2,466,177</w:t>
            </w: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(2,112,344)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(2,076,406)</w:t>
            </w:r>
          </w:p>
        </w:tc>
      </w:tr>
      <w:tr>
        <w:trPr>
          <w:trHeight w:val="216"/>
        </w:trPr>
        <w:tc>
          <w:tcPr>
            <w:tcW w:w="72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(6,636)</w:t>
            </w:r>
          </w:p>
        </w:tc>
      </w:tr>
      <w:tr>
        <w:trPr>
          <w:trHeight w:val="21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355,154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383,246</w:t>
            </w:r>
          </w:p>
        </w:tc>
      </w:tr>
      <w:tr>
        <w:trPr>
          <w:trHeight w:val="249"/>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705,306</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718,483</w:t>
            </w:r>
          </w:p>
        </w:tc>
      </w:tr>
      <w:tr>
        <w:trPr>
          <w:trHeight w:val="845"/>
        </w:trPr>
        <w:tc>
          <w:tcPr>
            <w:tcW w:w="7280" w:type="dxa"/>
            <w:vAlign w:val="bottom"/>
            <w:tcBorders>
              <w:top w:val="single" w:sz="8" w:color="CFF0FC"/>
            </w:tcBorders>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r>
      <w:tr>
        <w:trPr>
          <w:trHeight w:val="439"/>
        </w:trPr>
        <w:tc>
          <w:tcPr>
            <w:tcW w:w="7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-4928235</wp:posOffset>
            </wp:positionV>
            <wp:extent cx="1111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-4097020</wp:posOffset>
            </wp:positionV>
            <wp:extent cx="1111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-2125345</wp:posOffset>
            </wp:positionV>
            <wp:extent cx="1111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-1156335</wp:posOffset>
            </wp:positionV>
            <wp:extent cx="1111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-864870</wp:posOffset>
            </wp:positionV>
            <wp:extent cx="1111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-847725</wp:posOffset>
            </wp:positionV>
            <wp:extent cx="1111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Harmonic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Preliminary 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gridSpan w:val="4"/>
          </w:tcPr>
          <w:p>
            <w:pPr>
              <w:jc w:val="right"/>
              <w:ind w:right="11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April 3, 2026</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March 28, 2025</w:t>
            </w: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Appliance and integration</w:t>
            </w:r>
          </w:p>
        </w:tc>
        <w:tc>
          <w:tcPr>
            <w:tcW w:w="2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103,759</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71,525</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SaaS and service</w:t>
            </w:r>
          </w:p>
        </w:tc>
        <w:tc>
          <w:tcPr>
            <w:tcW w:w="26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17,936</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13,353</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121,695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84,878</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Appliance and integration</w:t>
            </w: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32,434</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SaaS and service</w:t>
            </w:r>
          </w:p>
        </w:tc>
        <w:tc>
          <w:tcPr>
            <w:tcW w:w="26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2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58,080</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38,398</w:t>
            </w: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2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63,615</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46,480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20,881</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19,664</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22,285</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19,780</w:t>
            </w: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43,166</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39,444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19,328</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11,225</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0" w:type="dxa"/>
            <w:vAlign w:val="bottom"/>
          </w:tcPr>
          <w:p>
            <w:pPr>
              <w:spacing w:after="0"/>
              <w:rPr>
                <w:sz w:val="1"/>
                <w:szCs w:val="1"/>
                <w:color w:val="auto"/>
              </w:rPr>
            </w:pPr>
          </w:p>
        </w:tc>
      </w:tr>
      <w:tr>
        <w:trPr>
          <w:trHeight w:val="25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7,309</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0" w:type="dxa"/>
            <w:vAlign w:val="bottom"/>
          </w:tcPr>
          <w:p>
            <w:pPr>
              <w:spacing w:after="0"/>
              <w:rPr>
                <w:sz w:val="1"/>
                <w:szCs w:val="1"/>
                <w:color w:val="auto"/>
              </w:rPr>
            </w:pPr>
          </w:p>
        </w:tc>
      </w:tr>
      <w:tr>
        <w:trPr>
          <w:trHeight w:val="197"/>
        </w:trPr>
        <w:tc>
          <w:tcPr>
            <w:tcW w:w="4740" w:type="dxa"/>
            <w:vAlign w:val="bottom"/>
            <w:tcBorders>
              <w:top w:val="single" w:sz="8" w:color="CFF0FC"/>
            </w:tcBorders>
          </w:tcPr>
          <w:p>
            <w:pPr>
              <w:spacing w:after="0"/>
              <w:rPr>
                <w:sz w:val="17"/>
                <w:szCs w:val="17"/>
                <w:color w:val="auto"/>
              </w:rPr>
            </w:pPr>
          </w:p>
        </w:tc>
        <w:tc>
          <w:tcPr>
            <w:tcW w:w="26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2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50"/>
        </w:trPr>
        <w:tc>
          <w:tcPr>
            <w:tcW w:w="4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196"/>
        </w:trPr>
        <w:tc>
          <w:tcPr>
            <w:tcW w:w="4740" w:type="dxa"/>
            <w:vAlign w:val="bottom"/>
            <w:tcBorders>
              <w:top w:val="single" w:sz="8" w:color="CFF0FC"/>
            </w:tcBorders>
          </w:tcPr>
          <w:p>
            <w:pPr>
              <w:spacing w:after="0"/>
              <w:rPr>
                <w:sz w:val="17"/>
                <w:szCs w:val="17"/>
                <w:color w:val="auto"/>
              </w:rPr>
            </w:pPr>
          </w:p>
        </w:tc>
        <w:tc>
          <w:tcPr>
            <w:tcW w:w="26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2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shd w:val="clear" w:color="auto" w:fill="CFF0FC"/>
          </w:tcPr>
          <w:p>
            <w:pPr>
              <w:spacing w:after="0"/>
              <w:rPr>
                <w:sz w:val="17"/>
                <w:szCs w:val="17"/>
                <w:color w:val="auto"/>
              </w:rPr>
            </w:pPr>
          </w:p>
        </w:tc>
        <w:tc>
          <w:tcPr>
            <w:tcW w:w="26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109,708</w:t>
            </w:r>
          </w:p>
        </w:tc>
        <w:tc>
          <w:tcPr>
            <w:tcW w:w="1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116,319</w:t>
            </w:r>
          </w:p>
        </w:tc>
        <w:tc>
          <w:tcPr>
            <w:tcW w:w="0" w:type="dxa"/>
            <w:vAlign w:val="bottom"/>
          </w:tcPr>
          <w:p>
            <w:pPr>
              <w:spacing w:after="0"/>
              <w:rPr>
                <w:sz w:val="1"/>
                <w:szCs w:val="1"/>
                <w:color w:val="auto"/>
              </w:rPr>
            </w:pPr>
          </w:p>
        </w:tc>
      </w:tr>
      <w:tr>
        <w:trPr>
          <w:trHeight w:val="196"/>
        </w:trPr>
        <w:tc>
          <w:tcPr>
            <w:tcW w:w="47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110,617</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117,021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80" w:type="dxa"/>
            <w:vAlign w:val="bottom"/>
            <w:vMerge w:val="restart"/>
          </w:tcPr>
          <w:p>
            <w:pPr>
              <w:jc w:val="right"/>
              <w:ind w:right="167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7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-5434330</wp:posOffset>
            </wp:positionV>
            <wp:extent cx="1111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-4876800</wp:posOffset>
            </wp:positionV>
            <wp:extent cx="1111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-2905125</wp:posOffset>
            </wp:positionV>
            <wp:extent cx="1111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-2887980</wp:posOffset>
            </wp:positionV>
            <wp:extent cx="1111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-2047875</wp:posOffset>
            </wp:positionV>
            <wp:extent cx="1111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-2030730</wp:posOffset>
            </wp:positionV>
            <wp:extent cx="1111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-1473835</wp:posOffset>
            </wp:positionV>
            <wp:extent cx="1111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-890905</wp:posOffset>
            </wp:positionV>
            <wp:extent cx="1111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-873760</wp:posOffset>
            </wp:positionV>
            <wp:extent cx="1111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Harmonic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Preliminary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(Unaudited, in thousands) </w:t>
      </w:r>
      <w:r>
        <w:rPr>
          <w:rFonts w:ascii="Times New Roman" w:cs="Times New Roman" w:eastAsia="Times New Roman" w:hAnsi="Times New Roman"/>
          <w:sz w:val="24"/>
          <w:szCs w:val="24"/>
          <w:b w:val="1"/>
          <w:bCs w:val="1"/>
          <w:color w:val="FFFFFF"/>
          <w:vertAlign w:val="superscript"/>
        </w:rPr>
        <w:t>4</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gridSpan w:val="4"/>
          </w:tcPr>
          <w:p>
            <w:pPr>
              <w:jc w:val="right"/>
              <w:ind w:right="11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7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April 3, 2026</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March 28, 2025</w:t>
            </w:r>
          </w:p>
        </w:tc>
        <w:tc>
          <w:tcPr>
            <w:tcW w:w="0" w:type="dxa"/>
            <w:vAlign w:val="bottom"/>
          </w:tcPr>
          <w:p>
            <w:pPr>
              <w:spacing w:after="0"/>
              <w:rPr>
                <w:sz w:val="1"/>
                <w:szCs w:val="1"/>
                <w:color w:val="auto"/>
              </w:rPr>
            </w:pPr>
          </w:p>
        </w:tc>
      </w:tr>
      <w:tr>
        <w:trPr>
          <w:trHeight w:val="21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Continuing and Discontinued Operations</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7,309</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16"/>
        </w:trPr>
        <w:tc>
          <w:tcPr>
            <w:tcW w:w="7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Foreign currency remeasurement</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7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Provision for excess and obsolete inventories</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r>
        <w:trPr>
          <w:trHeight w:val="216"/>
        </w:trPr>
        <w:tc>
          <w:tcPr>
            <w:tcW w:w="7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79,609</w:t>
            </w: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0" w:type="dxa"/>
            <w:vAlign w:val="bottom"/>
          </w:tcPr>
          <w:p>
            <w:pPr>
              <w:spacing w:after="0"/>
              <w:rPr>
                <w:sz w:val="1"/>
                <w:szCs w:val="1"/>
                <w:color w:val="auto"/>
              </w:rPr>
            </w:pPr>
          </w:p>
        </w:tc>
      </w:tr>
      <w:tr>
        <w:trPr>
          <w:trHeight w:val="216"/>
        </w:trPr>
        <w:tc>
          <w:tcPr>
            <w:tcW w:w="7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(8,356)</w:t>
            </w: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0" w:type="dxa"/>
            <w:vAlign w:val="bottom"/>
          </w:tcPr>
          <w:p>
            <w:pPr>
              <w:spacing w:after="0"/>
              <w:rPr>
                <w:sz w:val="1"/>
                <w:szCs w:val="1"/>
                <w:color w:val="auto"/>
              </w:rPr>
            </w:pPr>
          </w:p>
        </w:tc>
      </w:tr>
      <w:tr>
        <w:trPr>
          <w:trHeight w:val="216"/>
        </w:trPr>
        <w:tc>
          <w:tcPr>
            <w:tcW w:w="7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revenues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0" w:type="dxa"/>
            <w:vAlign w:val="bottom"/>
          </w:tcPr>
          <w:p>
            <w:pPr>
              <w:spacing w:after="0"/>
              <w:rPr>
                <w:sz w:val="1"/>
                <w:szCs w:val="1"/>
                <w:color w:val="auto"/>
              </w:rPr>
            </w:pPr>
          </w:p>
        </w:tc>
      </w:tr>
      <w:tr>
        <w:trPr>
          <w:trHeight w:val="216"/>
        </w:trPr>
        <w:tc>
          <w:tcPr>
            <w:tcW w:w="734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0" w:type="dxa"/>
            <w:vAlign w:val="bottom"/>
          </w:tcPr>
          <w:p>
            <w:pPr>
              <w:spacing w:after="0"/>
              <w:rPr>
                <w:sz w:val="1"/>
                <w:szCs w:val="1"/>
                <w:color w:val="auto"/>
              </w:rPr>
            </w:pP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31,690</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83,605</w:t>
            </w:r>
          </w:p>
        </w:tc>
        <w:tc>
          <w:tcPr>
            <w:tcW w:w="0" w:type="dxa"/>
            <w:vAlign w:val="bottom"/>
          </w:tcPr>
          <w:p>
            <w:pPr>
              <w:spacing w:after="0"/>
              <w:rPr>
                <w:sz w:val="1"/>
                <w:szCs w:val="1"/>
                <w:color w:val="auto"/>
              </w:rPr>
            </w:pPr>
          </w:p>
        </w:tc>
      </w:tr>
      <w:tr>
        <w:trPr>
          <w:trHeight w:val="209"/>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0" w:type="dxa"/>
            <w:vAlign w:val="bottom"/>
          </w:tcPr>
          <w:p>
            <w:pPr>
              <w:spacing w:after="0"/>
              <w:rPr>
                <w:sz w:val="1"/>
                <w:szCs w:val="1"/>
                <w:color w:val="auto"/>
              </w:rPr>
            </w:pPr>
          </w:p>
        </w:tc>
      </w:tr>
      <w:tr>
        <w:trPr>
          <w:trHeight w:val="210"/>
        </w:trPr>
        <w:tc>
          <w:tcPr>
            <w:tcW w:w="7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0" w:type="dxa"/>
            <w:vAlign w:val="bottom"/>
          </w:tcPr>
          <w:p>
            <w:pPr>
              <w:spacing w:after="0"/>
              <w:rPr>
                <w:sz w:val="1"/>
                <w:szCs w:val="1"/>
                <w:color w:val="auto"/>
              </w:rPr>
            </w:pPr>
          </w:p>
        </w:tc>
      </w:tr>
      <w:tr>
        <w:trPr>
          <w:trHeight w:val="209"/>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long-term debt and other borrowings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(42,951)</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(36,079)</w:t>
            </w: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common stock issued to employees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0" w:type="dxa"/>
            <w:vAlign w:val="bottom"/>
          </w:tcPr>
          <w:p>
            <w:pPr>
              <w:spacing w:after="0"/>
              <w:rPr>
                <w:sz w:val="1"/>
                <w:szCs w:val="1"/>
                <w:color w:val="auto"/>
              </w:rPr>
            </w:pPr>
          </w:p>
        </w:tc>
      </w:tr>
      <w:tr>
        <w:trPr>
          <w:trHeight w:val="216"/>
        </w:trPr>
        <w:tc>
          <w:tcPr>
            <w:tcW w:w="73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0" w:type="dxa"/>
            <w:vAlign w:val="bottom"/>
          </w:tcPr>
          <w:p>
            <w:pPr>
              <w:spacing w:after="0"/>
              <w:rPr>
                <w:sz w:val="1"/>
                <w:szCs w:val="1"/>
                <w:color w:val="auto"/>
              </w:rPr>
            </w:pP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(44,549)</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(36,074)</w:t>
            </w:r>
          </w:p>
        </w:tc>
        <w:tc>
          <w:tcPr>
            <w:tcW w:w="0" w:type="dxa"/>
            <w:vAlign w:val="bottom"/>
          </w:tcPr>
          <w:p>
            <w:pPr>
              <w:spacing w:after="0"/>
              <w:rPr>
                <w:sz w:val="1"/>
                <w:szCs w:val="1"/>
                <w:color w:val="auto"/>
              </w:rPr>
            </w:pPr>
          </w:p>
        </w:tc>
      </w:tr>
      <w:tr>
        <w:trPr>
          <w:trHeight w:val="210"/>
        </w:trPr>
        <w:tc>
          <w:tcPr>
            <w:tcW w:w="7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171"/>
        </w:trPr>
        <w:tc>
          <w:tcPr>
            <w:tcW w:w="734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(15,094)</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47,249</w:t>
            </w:r>
          </w:p>
        </w:tc>
        <w:tc>
          <w:tcPr>
            <w:tcW w:w="0" w:type="dxa"/>
            <w:vAlign w:val="bottom"/>
          </w:tcPr>
          <w:p>
            <w:pPr>
              <w:spacing w:after="0"/>
              <w:rPr>
                <w:sz w:val="1"/>
                <w:szCs w:val="1"/>
                <w:color w:val="auto"/>
              </w:rPr>
            </w:pPr>
          </w:p>
        </w:tc>
      </w:tr>
      <w:tr>
        <w:trPr>
          <w:trHeight w:val="38"/>
        </w:trPr>
        <w:tc>
          <w:tcPr>
            <w:tcW w:w="7340" w:type="dxa"/>
            <w:vAlign w:val="bottom"/>
            <w:vMerge w:val="restart"/>
          </w:tcPr>
          <w:p>
            <w:pPr>
              <w:spacing w:after="0" w:line="267" w:lineRule="exact"/>
              <w:rPr>
                <w:sz w:val="20"/>
                <w:szCs w:val="20"/>
                <w:color w:val="auto"/>
              </w:rPr>
            </w:pPr>
            <w:r>
              <w:rPr>
                <w:rFonts w:ascii="Times New Roman" w:cs="Times New Roman" w:eastAsia="Times New Roman" w:hAnsi="Times New Roman"/>
                <w:sz w:val="18"/>
                <w:szCs w:val="18"/>
                <w:color w:val="auto"/>
              </w:rPr>
              <w:t xml:space="preserve">Cash and cash equivalents and restricted cash at beginning of period </w:t>
            </w:r>
            <w:r>
              <w:rPr>
                <w:rFonts w:ascii="Times New Roman" w:cs="Times New Roman" w:eastAsia="Times New Roman" w:hAnsi="Times New Roman"/>
                <w:sz w:val="24"/>
                <w:szCs w:val="24"/>
                <w:color w:val="auto"/>
                <w:vertAlign w:val="superscript"/>
              </w:rPr>
              <w:t>(1)</w:t>
            </w: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7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124,461</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101,789</w:t>
            </w:r>
          </w:p>
        </w:tc>
        <w:tc>
          <w:tcPr>
            <w:tcW w:w="0" w:type="dxa"/>
            <w:vAlign w:val="bottom"/>
          </w:tcPr>
          <w:p>
            <w:pPr>
              <w:spacing w:after="0"/>
              <w:rPr>
                <w:sz w:val="1"/>
                <w:szCs w:val="1"/>
                <w:color w:val="auto"/>
              </w:rPr>
            </w:pP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109,367</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149,038</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end of period</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109,000</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148,708</w:t>
            </w: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191"/>
        </w:trPr>
        <w:tc>
          <w:tcPr>
            <w:tcW w:w="73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cash, cash equivalents and restricted cash as shown in the condensed consolidated statement of</w:t>
            </w:r>
          </w:p>
        </w:tc>
        <w:tc>
          <w:tcPr>
            <w:tcW w:w="3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109,367</w:t>
            </w:r>
          </w:p>
        </w:tc>
        <w:tc>
          <w:tcPr>
            <w:tcW w:w="4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149,038</w:t>
            </w:r>
          </w:p>
        </w:tc>
        <w:tc>
          <w:tcPr>
            <w:tcW w:w="0" w:type="dxa"/>
            <w:vAlign w:val="bottom"/>
          </w:tcPr>
          <w:p>
            <w:pPr>
              <w:spacing w:after="0"/>
              <w:rPr>
                <w:sz w:val="1"/>
                <w:szCs w:val="1"/>
                <w:color w:val="auto"/>
              </w:rPr>
            </w:pPr>
          </w:p>
        </w:tc>
      </w:tr>
      <w:tr>
        <w:trPr>
          <w:trHeight w:val="214"/>
        </w:trPr>
        <w:tc>
          <w:tcPr>
            <w:tcW w:w="734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cash flows</w:t>
            </w:r>
          </w:p>
        </w:tc>
        <w:tc>
          <w:tcPr>
            <w:tcW w:w="380" w:type="dxa"/>
            <w:vAlign w:val="bottom"/>
            <w:gridSpan w:val="2"/>
            <w:vMerge w:val="continue"/>
            <w:shd w:val="clear" w:color="auto" w:fill="CFF0FC"/>
          </w:tcPr>
          <w:p>
            <w:pPr>
              <w:spacing w:after="0"/>
              <w:rPr>
                <w:sz w:val="18"/>
                <w:szCs w:val="18"/>
                <w:color w:val="auto"/>
              </w:rPr>
            </w:pPr>
          </w:p>
        </w:tc>
        <w:tc>
          <w:tcPr>
            <w:tcW w:w="1500" w:type="dxa"/>
            <w:vAlign w:val="bottom"/>
            <w:vMerge w:val="continue"/>
            <w:shd w:val="clear" w:color="auto" w:fill="CFF0FC"/>
          </w:tcPr>
          <w:p>
            <w:pPr>
              <w:spacing w:after="0"/>
              <w:rPr>
                <w:sz w:val="18"/>
                <w:szCs w:val="18"/>
                <w:color w:val="auto"/>
              </w:rPr>
            </w:pPr>
          </w:p>
        </w:tc>
        <w:tc>
          <w:tcPr>
            <w:tcW w:w="440" w:type="dxa"/>
            <w:vAlign w:val="bottom"/>
            <w:gridSpan w:val="2"/>
            <w:vMerge w:val="continue"/>
            <w:shd w:val="clear" w:color="auto" w:fill="CFF0FC"/>
          </w:tcPr>
          <w:p>
            <w:pPr>
              <w:spacing w:after="0"/>
              <w:rPr>
                <w:sz w:val="18"/>
                <w:szCs w:val="18"/>
                <w:color w:val="auto"/>
              </w:rPr>
            </w:pPr>
          </w:p>
        </w:tc>
        <w:tc>
          <w:tcPr>
            <w:tcW w:w="158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168846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88465" cy="5080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-2991485</wp:posOffset>
            </wp:positionV>
            <wp:extent cx="1111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-2416810</wp:posOffset>
            </wp:positionV>
            <wp:extent cx="1111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-1585595</wp:posOffset>
            </wp:positionV>
            <wp:extent cx="1111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-1293495</wp:posOffset>
            </wp:positionV>
            <wp:extent cx="1111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-1139190</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1111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1111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Restricted cash included in other current assets was $356 and $332 as of December 31, 2025 and 2024, respectively.</w:t>
      </w:r>
    </w:p>
    <w:p>
      <w:pPr>
        <w:spacing w:after="0" w:line="2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Harmonic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Preliminary 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gridSpan w:val="4"/>
          </w:tcPr>
          <w:p>
            <w:pPr>
              <w:jc w:val="right"/>
              <w:ind w:right="117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49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April 3, 2026</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March 28, 2025</w:t>
            </w: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w:t>
            </w:r>
          </w:p>
        </w:tc>
        <w:tc>
          <w:tcPr>
            <w:tcW w:w="2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r>
      <w:tr>
        <w:trPr>
          <w:trHeight w:val="216"/>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payments, net</w:t>
            </w:r>
          </w:p>
        </w:tc>
        <w:tc>
          <w:tcPr>
            <w:tcW w:w="2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16"/>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payments, net</w:t>
            </w:r>
          </w:p>
        </w:tc>
        <w:tc>
          <w:tcPr>
            <w:tcW w:w="2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activities:</w:t>
            </w:r>
          </w:p>
        </w:tc>
        <w:tc>
          <w:tcPr>
            <w:tcW w:w="2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 expenditures incurred but not yet paid</w:t>
            </w:r>
          </w:p>
        </w:tc>
        <w:tc>
          <w:tcPr>
            <w:tcW w:w="2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648"/>
        </w:trPr>
        <w:tc>
          <w:tcPr>
            <w:tcW w:w="4900" w:type="dxa"/>
            <w:vAlign w:val="bottom"/>
          </w:tcPr>
          <w:p>
            <w:pPr>
              <w:spacing w:after="0"/>
              <w:rPr>
                <w:sz w:val="24"/>
                <w:szCs w:val="24"/>
                <w:color w:val="auto"/>
              </w:rPr>
            </w:pPr>
          </w:p>
        </w:tc>
        <w:tc>
          <w:tcPr>
            <w:tcW w:w="25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39"/>
        </w:trPr>
        <w:tc>
          <w:tcPr>
            <w:tcW w:w="49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Harmonic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GAAP Revenue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percentages)</w:t>
      </w:r>
      <w:r>
        <w:rPr>
          <w:rFonts w:ascii="Times New Roman" w:cs="Times New Roman" w:eastAsia="Times New Roman" w:hAnsi="Times New Roman"/>
          <w:sz w:val="24"/>
          <w:szCs w:val="24"/>
          <w:b w:val="1"/>
          <w:bCs w:val="1"/>
          <w:color w:val="FFFFFF"/>
          <w:vertAlign w:val="superscript"/>
        </w:rPr>
        <w:t>5</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r>
      <w:tr>
        <w:trPr>
          <w:trHeight w:val="142"/>
        </w:trPr>
        <w:tc>
          <w:tcPr>
            <w:tcW w:w="47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April 3, 2026</w:t>
            </w: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28, 2025</w:t>
            </w:r>
          </w:p>
        </w:tc>
        <w:tc>
          <w:tcPr>
            <w:tcW w:w="500" w:type="dxa"/>
            <w:vAlign w:val="bottom"/>
            <w:tcBorders>
              <w:bottom w:val="single" w:sz="8" w:color="auto"/>
            </w:tcBorders>
          </w:tcPr>
          <w:p>
            <w:pPr>
              <w:spacing w:after="0"/>
              <w:rPr>
                <w:sz w:val="12"/>
                <w:szCs w:val="12"/>
                <w:color w:val="auto"/>
              </w:rPr>
            </w:pP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Geography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106,430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85,224</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75,023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EMEA</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10,459</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8"/>
                <w:szCs w:val="18"/>
                <w:color w:val="auto"/>
              </w:rPr>
              <w:t>9,781</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color w:val="auto"/>
              </w:rPr>
              <w:t>8,620</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APAC</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4,806</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3,230</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1,235</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121,695</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8"/>
                <w:szCs w:val="18"/>
                <w:color w:val="auto"/>
              </w:rPr>
              <w:t>98,235</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100%</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color w:val="auto"/>
              </w:rPr>
              <w:t>84,878</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61"/>
        </w:trPr>
        <w:tc>
          <w:tcPr>
            <w:tcW w:w="4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r>
      <w:tr>
        <w:trPr>
          <w:trHeight w:val="268"/>
        </w:trPr>
        <w:tc>
          <w:tcPr>
            <w:tcW w:w="4700" w:type="dxa"/>
            <w:vAlign w:val="bottom"/>
          </w:tcPr>
          <w:p>
            <w:pPr>
              <w:ind w:left="100"/>
              <w:spacing w:after="0" w:line="267" w:lineRule="exact"/>
              <w:rPr>
                <w:sz w:val="20"/>
                <w:szCs w:val="20"/>
                <w:color w:val="auto"/>
              </w:rPr>
            </w:pPr>
            <w:r>
              <w:rPr>
                <w:rFonts w:ascii="Times New Roman" w:cs="Times New Roman" w:eastAsia="Times New Roman" w:hAnsi="Times New Roman"/>
                <w:sz w:val="18"/>
                <w:szCs w:val="18"/>
                <w:color w:val="auto"/>
              </w:rPr>
              <w:t xml:space="preserve">Top 2 customers </w:t>
            </w:r>
            <w:r>
              <w:rPr>
                <w:rFonts w:ascii="Times New Roman" w:cs="Times New Roman" w:eastAsia="Times New Roman" w:hAnsi="Times New Roman"/>
                <w:sz w:val="24"/>
                <w:szCs w:val="24"/>
                <w:color w:val="auto"/>
                <w:vertAlign w:val="superscript"/>
              </w:rPr>
              <w:t>(1)</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71,101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56,367</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56,503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47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Rest-of-Market</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50,594</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234"/>
              <w:spacing w:after="0"/>
              <w:rPr>
                <w:sz w:val="20"/>
                <w:szCs w:val="20"/>
                <w:color w:val="auto"/>
              </w:rPr>
            </w:pPr>
            <w:r>
              <w:rPr>
                <w:rFonts w:ascii="Times New Roman" w:cs="Times New Roman" w:eastAsia="Times New Roman" w:hAnsi="Times New Roman"/>
                <w:sz w:val="18"/>
                <w:szCs w:val="18"/>
                <w:color w:val="auto"/>
              </w:rPr>
              <w:t>41,868</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color w:val="auto"/>
              </w:rPr>
              <w:t>28,375</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121,695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98,235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84,878</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1688465"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88465" cy="508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-744855</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-728345</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-744855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-728345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-170815</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-170815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Based on largest subscriber footprint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Harmonic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percentages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April 3, 2026</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0"/>
                <w:szCs w:val="10"/>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Operating</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Non-operating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5"/>
                <w:szCs w:val="15"/>
                <w:color w:val="auto"/>
              </w:rPr>
            </w:pPr>
          </w:p>
        </w:tc>
        <w:tc>
          <w:tcPr>
            <w:tcW w:w="116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Expense, net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121,695</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63,615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43,166</w:t>
            </w:r>
          </w:p>
        </w:tc>
        <w:tc>
          <w:tcPr>
            <w:tcW w:w="48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11,225</w:t>
            </w:r>
          </w:p>
        </w:tc>
        <w:tc>
          <w:tcPr>
            <w:tcW w:w="0" w:type="dxa"/>
            <w:vAlign w:val="bottom"/>
          </w:tcPr>
          <w:p>
            <w:pPr>
              <w:spacing w:after="0"/>
              <w:rPr>
                <w:sz w:val="1"/>
                <w:szCs w:val="1"/>
                <w:color w:val="auto"/>
              </w:rPr>
            </w:pPr>
          </w:p>
        </w:tc>
      </w:tr>
      <w:tr>
        <w:trPr>
          <w:trHeight w:val="216"/>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0" w:type="dxa"/>
            <w:vAlign w:val="bottom"/>
          </w:tcPr>
          <w:p>
            <w:pPr>
              <w:spacing w:after="0"/>
              <w:rPr>
                <w:sz w:val="1"/>
                <w:szCs w:val="1"/>
                <w:color w:val="auto"/>
              </w:rPr>
            </w:pPr>
          </w:p>
        </w:tc>
      </w:tr>
      <w:tr>
        <w:trPr>
          <w:trHeight w:val="198"/>
        </w:trPr>
        <w:tc>
          <w:tcPr>
            <w:tcW w:w="376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Discrete tax items and tax effect of Non-GAAP</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21"/>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adjustments</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0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0" w:type="dxa"/>
            <w:vAlign w:val="bottom"/>
          </w:tcPr>
          <w:p>
            <w:pPr>
              <w:spacing w:after="0"/>
              <w:rPr>
                <w:sz w:val="1"/>
                <w:szCs w:val="1"/>
                <w:color w:val="auto"/>
              </w:rPr>
            </w:pPr>
          </w:p>
        </w:tc>
      </w:tr>
      <w:tr>
        <w:trPr>
          <w:trHeight w:val="24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121,695</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63,880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37,867</w:t>
            </w:r>
          </w:p>
        </w:tc>
        <w:tc>
          <w:tcPr>
            <w:tcW w:w="48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26,013</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0" w:type="dxa"/>
            <w:vAlign w:val="bottom"/>
          </w:tcPr>
          <w:p>
            <w:pPr>
              <w:spacing w:after="0"/>
              <w:rPr>
                <w:sz w:val="1"/>
                <w:szCs w:val="1"/>
                <w:color w:val="auto"/>
              </w:rPr>
            </w:pPr>
          </w:p>
        </w:tc>
      </w:tr>
      <w:tr>
        <w:trPr>
          <w:trHeight w:val="197"/>
        </w:trPr>
        <w:tc>
          <w:tcPr>
            <w:tcW w:w="3760" w:type="dxa"/>
            <w:vAlign w:val="bottom"/>
            <w:tcBorders>
              <w:top w:val="single" w:sz="8" w:color="CFF0FC"/>
            </w:tcBorders>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As a % of revenue (GAAP)</w:t>
            </w:r>
          </w:p>
        </w:tc>
        <w:tc>
          <w:tcPr>
            <w:tcW w:w="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52.3%</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35.5%</w:t>
            </w:r>
          </w:p>
        </w:tc>
        <w:tc>
          <w:tcPr>
            <w:tcW w:w="10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16.8%</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(0.9)%</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9.2%</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rPr>
              <w:t>As a % of revenue (Non-GAAP)</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rPr>
              <w:t>52.5%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rPr>
              <w:t>31.1%</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rPr>
              <w:t>21.4%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rPr>
              <w:t>(0.9)%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rPr>
              <w:t>15.4%</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share: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GAAP</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0"/>
        </w:trPr>
        <w:tc>
          <w:tcPr>
            <w:tcW w:w="37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Non-GAAP</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Shares used in per share calculation:</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GAAP and Non-GAAP</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110,617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December 31, 2025</w:t>
            </w: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0"/>
                <w:szCs w:val="10"/>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Operating</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Non-operating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5"/>
                <w:szCs w:val="15"/>
                <w:color w:val="auto"/>
              </w:rPr>
            </w:pPr>
          </w:p>
        </w:tc>
        <w:tc>
          <w:tcPr>
            <w:tcW w:w="116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Expense, net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98,235</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46,180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42,412</w:t>
            </w:r>
          </w:p>
        </w:tc>
        <w:tc>
          <w:tcPr>
            <w:tcW w:w="48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w:t>
            </w:r>
          </w:p>
        </w:tc>
        <w:tc>
          <w:tcPr>
            <w:tcW w:w="0" w:type="dxa"/>
            <w:vAlign w:val="bottom"/>
          </w:tcPr>
          <w:p>
            <w:pPr>
              <w:spacing w:after="0"/>
              <w:rPr>
                <w:sz w:val="1"/>
                <w:szCs w:val="1"/>
                <w:color w:val="auto"/>
              </w:rPr>
            </w:pPr>
          </w:p>
        </w:tc>
      </w:tr>
      <w:tr>
        <w:trPr>
          <w:trHeight w:val="198"/>
        </w:trPr>
        <w:tc>
          <w:tcPr>
            <w:tcW w:w="376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Discrete tax items and tax effect of Non-GAAP</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21"/>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adjustments</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10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5,812</w:t>
            </w: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0" w:type="dxa"/>
            <w:vAlign w:val="bottom"/>
          </w:tcPr>
          <w:p>
            <w:pPr>
              <w:spacing w:after="0"/>
              <w:rPr>
                <w:sz w:val="1"/>
                <w:szCs w:val="1"/>
                <w:color w:val="auto"/>
              </w:rPr>
            </w:pPr>
          </w:p>
        </w:tc>
      </w:tr>
      <w:tr>
        <w:trPr>
          <w:trHeight w:val="24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98,235</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46,398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36,818</w:t>
            </w:r>
          </w:p>
        </w:tc>
        <w:tc>
          <w:tcPr>
            <w:tcW w:w="48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9,580</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0" w:type="dxa"/>
            <w:vAlign w:val="bottom"/>
          </w:tcPr>
          <w:p>
            <w:pPr>
              <w:spacing w:after="0"/>
              <w:rPr>
                <w:sz w:val="1"/>
                <w:szCs w:val="1"/>
                <w:color w:val="auto"/>
              </w:rPr>
            </w:pPr>
          </w:p>
        </w:tc>
      </w:tr>
      <w:tr>
        <w:trPr>
          <w:trHeight w:val="197"/>
        </w:trPr>
        <w:tc>
          <w:tcPr>
            <w:tcW w:w="3760" w:type="dxa"/>
            <w:vAlign w:val="bottom"/>
            <w:tcBorders>
              <w:top w:val="single" w:sz="8" w:color="CFF0FC"/>
            </w:tcBorders>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As a % of revenue (GAAP)</w:t>
            </w:r>
          </w:p>
        </w:tc>
        <w:tc>
          <w:tcPr>
            <w:tcW w:w="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47.0%</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43.2%</w:t>
            </w:r>
          </w:p>
        </w:tc>
        <w:tc>
          <w:tcPr>
            <w:tcW w:w="10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3.8%</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(0.5)%</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0.2%</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rPr>
              <w:t>As a % of revenue (Non-GAAP)</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rPr>
              <w:t>47.2%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rPr>
              <w:t>37.5%</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rPr>
              <w:t>9.8%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rPr>
              <w:t>(0.5)%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rPr>
              <w:t>7.3%</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share: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GAAP</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
        </w:trPr>
        <w:tc>
          <w:tcPr>
            <w:tcW w:w="37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Non-GAAP</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Shares used in per share calculation:</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GAAP and Non-GAAP</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112,995</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vMerge w:val="restart"/>
          </w:tcPr>
          <w:p>
            <w:pPr>
              <w:jc w:val="center"/>
              <w:ind w:right="94"/>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-4482465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-4482465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-4482465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-4482465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-4482465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-4191000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-4173855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-4191000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-4173855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-4191000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-4173855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-4191000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-4173855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-4191000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-4173855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-2056765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-2056765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-2056765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-2056765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-2056765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-1765300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-1748155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-1765300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-1748155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-1765300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-1748155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-1765300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-1748155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-1765300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-1748155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Harmonic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percentages and per share data)</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11"/>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28, 2025</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Operating</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Non-operating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gridSpan w:val="4"/>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Expense, net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84,878</w:t>
            </w:r>
          </w:p>
        </w:tc>
        <w:tc>
          <w:tcPr>
            <w:tcW w:w="4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46,480</w:t>
            </w:r>
          </w:p>
        </w:tc>
        <w:tc>
          <w:tcPr>
            <w:tcW w:w="400" w:type="dxa"/>
            <w:vAlign w:val="bottom"/>
            <w:gridSpan w:val="3"/>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39,444</w:t>
            </w:r>
          </w:p>
        </w:tc>
        <w:tc>
          <w:tcPr>
            <w:tcW w:w="34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0" w:type="dxa"/>
            <w:vAlign w:val="bottom"/>
          </w:tcPr>
          <w:p>
            <w:pPr>
              <w:spacing w:after="0"/>
              <w:rPr>
                <w:sz w:val="1"/>
                <w:szCs w:val="1"/>
                <w:color w:val="auto"/>
              </w:rPr>
            </w:pPr>
          </w:p>
        </w:tc>
      </w:tr>
      <w:tr>
        <w:trPr>
          <w:trHeight w:val="216"/>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0" w:type="dxa"/>
            <w:vAlign w:val="bottom"/>
          </w:tcPr>
          <w:p>
            <w:pPr>
              <w:spacing w:after="0"/>
              <w:rPr>
                <w:sz w:val="1"/>
                <w:szCs w:val="1"/>
                <w:color w:val="auto"/>
              </w:rPr>
            </w:pPr>
          </w:p>
        </w:tc>
      </w:tr>
      <w:tr>
        <w:trPr>
          <w:trHeight w:val="198"/>
        </w:trPr>
        <w:tc>
          <w:tcPr>
            <w:tcW w:w="376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Discrete tax items and tax effect of Non-GAAP</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restart"/>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21"/>
        </w:trPr>
        <w:tc>
          <w:tcPr>
            <w:tcW w:w="37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adjustments</w:t>
            </w: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vMerge w:val="continue"/>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vMerge w:val="continue"/>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vMerge w:val="continue"/>
            <w:shd w:val="clear" w:color="auto" w:fill="CFF0FC"/>
          </w:tcPr>
          <w:p>
            <w:pPr>
              <w:spacing w:after="0"/>
              <w:rPr>
                <w:sz w:val="19"/>
                <w:szCs w:val="19"/>
                <w:color w:val="auto"/>
              </w:rPr>
            </w:pPr>
          </w:p>
        </w:tc>
        <w:tc>
          <w:tcPr>
            <w:tcW w:w="20" w:type="dxa"/>
            <w:vAlign w:val="bottom"/>
            <w:tcBorders>
              <w:bottom w:val="single" w:sz="8" w:color="CFF0FC"/>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0" w:type="dxa"/>
            <w:vAlign w:val="bottom"/>
          </w:tcPr>
          <w:p>
            <w:pPr>
              <w:spacing w:after="0"/>
              <w:rPr>
                <w:sz w:val="1"/>
                <w:szCs w:val="1"/>
                <w:color w:val="auto"/>
              </w:rPr>
            </w:pPr>
          </w:p>
        </w:tc>
      </w:tr>
      <w:tr>
        <w:trPr>
          <w:trHeight w:val="24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84,878</w:t>
            </w:r>
          </w:p>
        </w:tc>
        <w:tc>
          <w:tcPr>
            <w:tcW w:w="4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46,740</w:t>
            </w:r>
          </w:p>
        </w:tc>
        <w:tc>
          <w:tcPr>
            <w:tcW w:w="400" w:type="dxa"/>
            <w:vAlign w:val="bottom"/>
            <w:gridSpan w:val="3"/>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34,687</w:t>
            </w:r>
          </w:p>
        </w:tc>
        <w:tc>
          <w:tcPr>
            <w:tcW w:w="34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2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0" w:type="dxa"/>
            <w:vAlign w:val="bottom"/>
          </w:tcPr>
          <w:p>
            <w:pPr>
              <w:spacing w:after="0"/>
              <w:rPr>
                <w:sz w:val="1"/>
                <w:szCs w:val="1"/>
                <w:color w:val="auto"/>
              </w:rPr>
            </w:pPr>
          </w:p>
        </w:tc>
      </w:tr>
      <w:tr>
        <w:trPr>
          <w:trHeight w:val="197"/>
        </w:trPr>
        <w:tc>
          <w:tcPr>
            <w:tcW w:w="3760" w:type="dxa"/>
            <w:vAlign w:val="bottom"/>
            <w:tcBorders>
              <w:top w:val="single" w:sz="8" w:color="CFF0FC"/>
            </w:tcBorders>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As a % of revenue (GAAP)</w:t>
            </w:r>
          </w:p>
        </w:tc>
        <w:tc>
          <w:tcPr>
            <w:tcW w:w="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54.8%</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46.5%</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8.3%</w:t>
            </w:r>
          </w:p>
        </w:tc>
        <w:tc>
          <w:tcPr>
            <w:tcW w:w="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(2.3)%</w:t>
            </w: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2.8%</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rPr>
              <w:t>As a % of revenue (Non-GAAP)</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rPr>
              <w:t>55.1%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rPr>
              <w:t>40.9%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rPr>
              <w:t>14.2%</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rPr>
              <w:t>(2.3)%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rPr>
              <w:t>9.4%</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share: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7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GAAP</w:t>
            </w:r>
          </w:p>
        </w:tc>
        <w:tc>
          <w:tcPr>
            <w:tcW w:w="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197"/>
        </w:trPr>
        <w:tc>
          <w:tcPr>
            <w:tcW w:w="37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Non-GAAP</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Shares used in per share calculation:</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GAAP and Non-GAAP</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117,021</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8"/>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28, 2025</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jc w:val="right"/>
              <w:ind w:right="110"/>
              <w:spacing w:after="0" w:line="118" w:lineRule="exact"/>
              <w:rPr>
                <w:sz w:val="20"/>
                <w:szCs w:val="20"/>
                <w:color w:val="auto"/>
              </w:rPr>
            </w:pPr>
            <w:r>
              <w:rPr>
                <w:rFonts w:ascii="Times New Roman" w:cs="Times New Roman" w:eastAsia="Times New Roman" w:hAnsi="Times New Roman"/>
                <w:sz w:val="13"/>
                <w:szCs w:val="13"/>
                <w:b w:val="1"/>
                <w:bCs w:val="1"/>
                <w:color w:val="auto"/>
              </w:rPr>
              <w:t>Continuing</w:t>
            </w:r>
          </w:p>
        </w:tc>
        <w:tc>
          <w:tcPr>
            <w:tcW w:w="120" w:type="dxa"/>
            <w:vAlign w:val="bottom"/>
          </w:tcPr>
          <w:p>
            <w:pPr>
              <w:spacing w:after="0"/>
              <w:rPr>
                <w:sz w:val="10"/>
                <w:szCs w:val="10"/>
                <w:color w:val="auto"/>
              </w:rPr>
            </w:pPr>
          </w:p>
        </w:tc>
        <w:tc>
          <w:tcPr>
            <w:tcW w:w="1080" w:type="dxa"/>
            <w:vAlign w:val="bottom"/>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Discontinued</w:t>
            </w:r>
          </w:p>
        </w:tc>
        <w:tc>
          <w:tcPr>
            <w:tcW w:w="140" w:type="dxa"/>
            <w:vAlign w:val="bottom"/>
          </w:tcPr>
          <w:p>
            <w:pPr>
              <w:spacing w:after="0"/>
              <w:rPr>
                <w:sz w:val="10"/>
                <w:szCs w:val="10"/>
                <w:color w:val="auto"/>
              </w:rPr>
            </w:pPr>
          </w:p>
        </w:tc>
        <w:tc>
          <w:tcPr>
            <w:tcW w:w="10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Company</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Continuing</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Discontinued</w:t>
            </w:r>
          </w:p>
        </w:tc>
        <w:tc>
          <w:tcPr>
            <w:tcW w:w="100" w:type="dxa"/>
            <w:vAlign w:val="bottom"/>
          </w:tcPr>
          <w:p>
            <w:pPr>
              <w:spacing w:after="0"/>
              <w:rPr>
                <w:sz w:val="10"/>
                <w:szCs w:val="10"/>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Company</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20" w:type="dxa"/>
            <w:vAlign w:val="bottom"/>
          </w:tcPr>
          <w:p>
            <w:pPr>
              <w:spacing w:after="0"/>
              <w:rPr>
                <w:sz w:val="15"/>
                <w:szCs w:val="15"/>
                <w:color w:val="auto"/>
              </w:rPr>
            </w:pPr>
          </w:p>
        </w:tc>
        <w:tc>
          <w:tcPr>
            <w:tcW w:w="10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40" w:type="dxa"/>
            <w:vAlign w:val="bottom"/>
          </w:tcPr>
          <w:p>
            <w:pPr>
              <w:spacing w:after="0"/>
              <w:rPr>
                <w:sz w:val="15"/>
                <w:szCs w:val="15"/>
                <w:color w:val="auto"/>
              </w:rPr>
            </w:pPr>
          </w:p>
        </w:tc>
        <w:tc>
          <w:tcPr>
            <w:tcW w:w="1060" w:type="dxa"/>
            <w:vAlign w:val="bottom"/>
            <w:tcBorders>
              <w:bottom w:val="single" w:sz="8" w:color="auto"/>
            </w:tcBorders>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00" w:type="dxa"/>
            <w:vAlign w:val="bottom"/>
          </w:tcPr>
          <w:p>
            <w:pPr>
              <w:spacing w:after="0"/>
              <w:rPr>
                <w:sz w:val="15"/>
                <w:szCs w:val="15"/>
                <w:color w:val="auto"/>
              </w:rPr>
            </w:pPr>
          </w:p>
        </w:tc>
        <w:tc>
          <w:tcPr>
            <w:tcW w:w="10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 - GAAP</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center"/>
              <w:ind w:left="1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11,225</w:t>
            </w:r>
          </w:p>
        </w:tc>
        <w:tc>
          <w:tcPr>
            <w:tcW w:w="48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58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7,309</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0" w:type="dxa"/>
            <w:vAlign w:val="bottom"/>
          </w:tcPr>
          <w:p>
            <w:pPr>
              <w:spacing w:after="0"/>
              <w:rPr>
                <w:sz w:val="1"/>
                <w:szCs w:val="1"/>
                <w:color w:val="auto"/>
              </w:rPr>
            </w:pPr>
          </w:p>
        </w:tc>
      </w:tr>
      <w:tr>
        <w:trPr>
          <w:trHeight w:val="216"/>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9,810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Non-recurring advisory fees</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7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Discrete tax items and tax effect of Non-GAAP</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(220)</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21"/>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adjustments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1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15,578</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0" w:type="dxa"/>
            <w:vAlign w:val="bottom"/>
          </w:tcPr>
          <w:p>
            <w:pPr>
              <w:spacing w:after="0"/>
              <w:rPr>
                <w:sz w:val="1"/>
                <w:szCs w:val="1"/>
                <w:color w:val="auto"/>
              </w:rPr>
            </w:pPr>
          </w:p>
        </w:tc>
      </w:tr>
      <w:tr>
        <w:trPr>
          <w:trHeight w:val="21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 Non-GAAP</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center"/>
              <w:ind w:left="1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48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58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22,887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i w:val="1"/>
                <w:iCs w:val="1"/>
                <w:color w:val="auto"/>
              </w:rPr>
              <w:t>As a % of revenue (GAAP)</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9.2%</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gridSpan w:val="4"/>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(7.8)%</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620" w:type="dxa"/>
            <w:vAlign w:val="bottom"/>
            <w:gridSpan w:val="4"/>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4.3%</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gridSpan w:val="4"/>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2.8%</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i w:val="1"/>
                <w:iCs w:val="1"/>
                <w:color w:val="auto"/>
              </w:rPr>
              <w:t>7.4%</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4.5%</w:t>
            </w: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As a % of revenue (Non-GAAP)</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8.2%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13.3%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10.1%</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net income (loss) per share: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GAAP</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58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0.07</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37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6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Non-GAAP</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7"/>
                <w:szCs w:val="17"/>
                <w:color w:val="auto"/>
              </w:rPr>
            </w:pP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7"/>
                <w:szCs w:val="17"/>
                <w:color w:val="auto"/>
              </w:rPr>
            </w:pPr>
          </w:p>
        </w:tc>
        <w:tc>
          <w:tcPr>
            <w:tcW w:w="360" w:type="dxa"/>
            <w:vAlign w:val="bottom"/>
          </w:tcPr>
          <w:p>
            <w:pPr>
              <w:jc w:val="right"/>
              <w:ind w:right="18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7"/>
                <w:szCs w:val="17"/>
                <w:color w:val="auto"/>
              </w:rPr>
            </w:pPr>
          </w:p>
        </w:tc>
        <w:tc>
          <w:tcPr>
            <w:tcW w:w="4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580" w:type="dxa"/>
            <w:vAlign w:val="bottom"/>
            <w:gridSpan w:val="2"/>
          </w:tcPr>
          <w:p>
            <w:pPr>
              <w:jc w:val="right"/>
              <w:ind w:right="288"/>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0.21</w:t>
            </w:r>
          </w:p>
        </w:tc>
        <w:tc>
          <w:tcPr>
            <w:tcW w:w="2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2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used in per share calculation: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7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GAAP and Non-GAAP</w:t>
            </w:r>
          </w:p>
        </w:tc>
        <w:tc>
          <w:tcPr>
            <w:tcW w:w="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110,617</w:t>
            </w:r>
          </w:p>
        </w:tc>
        <w:tc>
          <w:tcPr>
            <w:tcW w:w="1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110,617</w:t>
            </w:r>
          </w:p>
        </w:tc>
        <w:tc>
          <w:tcPr>
            <w:tcW w:w="14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110,617</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117,021</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117,021</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117,021</w:t>
            </w:r>
          </w:p>
        </w:tc>
        <w:tc>
          <w:tcPr>
            <w:tcW w:w="0" w:type="dxa"/>
            <w:vAlign w:val="bottom"/>
          </w:tcPr>
          <w:p>
            <w:pPr>
              <w:spacing w:after="0"/>
              <w:rPr>
                <w:sz w:val="1"/>
                <w:szCs w:val="1"/>
                <w:color w:val="auto"/>
              </w:rPr>
            </w:pPr>
          </w:p>
        </w:tc>
      </w:tr>
      <w:tr>
        <w:trPr>
          <w:trHeight w:val="845"/>
        </w:trPr>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-5168265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-5168265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-5168265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-5168265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-5168265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-4876800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-4859655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-4876800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-4859655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-4876800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-4859655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-4876800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-4859655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-4876800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-4859655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-2322195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-2322195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-2322195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-2322195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-2322195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-1464945</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-1447800</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-1464945</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-1447800</wp:posOffset>
            </wp:positionV>
            <wp:extent cx="77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-1464945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-1447800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-1464945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-1447800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-1464945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-1447800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-864870</wp:posOffset>
            </wp:positionV>
            <wp:extent cx="774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-847725</wp:posOffset>
            </wp:positionV>
            <wp:extent cx="774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-864870</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-847725</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-864870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-847725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-864870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-847725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-864870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-847725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Harmonic Inc.</w:t>
      </w:r>
    </w:p>
    <w:p>
      <w:pPr>
        <w:jc w:val="center"/>
        <w:spacing w:after="0" w:line="227" w:lineRule="auto"/>
        <w:rPr>
          <w:sz w:val="20"/>
          <w:szCs w:val="20"/>
          <w:color w:val="auto"/>
        </w:rPr>
      </w:pPr>
      <w:r>
        <w:rPr>
          <w:rFonts w:ascii="Times New Roman" w:cs="Times New Roman" w:eastAsia="Times New Roman" w:hAnsi="Times New Roman"/>
          <w:sz w:val="18"/>
          <w:szCs w:val="18"/>
          <w:b w:val="1"/>
          <w:bCs w:val="1"/>
          <w:color w:val="auto"/>
        </w:rPr>
        <w:t>GAAP to Non-GAAP Reconciliations on Financial Guidance for Continuing Operations (Unaudited)</w:t>
      </w:r>
      <w:r>
        <w:rPr>
          <w:rFonts w:ascii="Times New Roman" w:cs="Times New Roman" w:eastAsia="Times New Roman" w:hAnsi="Times New Roman"/>
          <w:sz w:val="24"/>
          <w:szCs w:val="24"/>
          <w:b w:val="1"/>
          <w:bCs w:val="1"/>
          <w:color w:val="auto"/>
          <w:vertAlign w:val="superscript"/>
        </w:rPr>
        <w:t>(1)</w:t>
      </w: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percentages and per share data)</w:t>
      </w:r>
      <w:r>
        <w:rPr>
          <w:rFonts w:ascii="Times New Roman" w:cs="Times New Roman" w:eastAsia="Times New Roman" w:hAnsi="Times New Roman"/>
          <w:sz w:val="24"/>
          <w:szCs w:val="24"/>
          <w:b w:val="1"/>
          <w:bCs w:val="1"/>
          <w:color w:val="FFFFFF"/>
          <w:vertAlign w:val="superscript"/>
        </w:rPr>
        <w:t>6</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Q2 2026 Financial Guidance</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center"/>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Operating Profit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cente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 $</w:t>
            </w:r>
          </w:p>
        </w:tc>
        <w:tc>
          <w:tcPr>
            <w:tcW w:w="5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125</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 $</w:t>
            </w:r>
          </w:p>
        </w:tc>
        <w:tc>
          <w:tcPr>
            <w:tcW w:w="440" w:type="dxa"/>
            <w:vAlign w:val="bottom"/>
            <w:shd w:val="clear" w:color="auto" w:fill="CFF0FC"/>
          </w:tcPr>
          <w:p>
            <w:pPr>
              <w:jc w:val="center"/>
              <w:ind w:right="79"/>
              <w:spacing w:after="0"/>
              <w:rPr>
                <w:sz w:val="20"/>
                <w:szCs w:val="20"/>
                <w:color w:val="auto"/>
              </w:rPr>
            </w:pPr>
            <w:r>
              <w:rPr>
                <w:rFonts w:ascii="Times New Roman" w:cs="Times New Roman" w:eastAsia="Times New Roman" w:hAnsi="Times New Roman"/>
                <w:sz w:val="16"/>
                <w:szCs w:val="16"/>
                <w:color w:val="auto"/>
                <w:w w:val="99"/>
              </w:rPr>
              <w:t>66</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5"/>
              </w:rPr>
              <w:t>to</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18</w:t>
            </w:r>
          </w:p>
        </w:tc>
        <w:tc>
          <w:tcPr>
            <w:tcW w:w="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 $</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 $</w:t>
            </w:r>
          </w:p>
        </w:tc>
        <w:tc>
          <w:tcPr>
            <w:tcW w:w="480" w:type="dxa"/>
            <w:vAlign w:val="bottom"/>
            <w:shd w:val="clear" w:color="auto" w:fill="CFF0FC"/>
          </w:tcPr>
          <w:p>
            <w:pPr>
              <w:jc w:val="center"/>
              <w:ind w:right="79"/>
              <w:spacing w:after="0"/>
              <w:rPr>
                <w:sz w:val="20"/>
                <w:szCs w:val="20"/>
                <w:color w:val="auto"/>
              </w:rPr>
            </w:pPr>
            <w:r>
              <w:rPr>
                <w:rFonts w:ascii="Times New Roman" w:cs="Times New Roman" w:eastAsia="Times New Roman" w:hAnsi="Times New Roman"/>
                <w:sz w:val="16"/>
                <w:szCs w:val="16"/>
                <w:color w:val="auto"/>
                <w:w w:val="99"/>
              </w:rPr>
              <w:t>15</w:t>
            </w:r>
          </w:p>
        </w:tc>
        <w:tc>
          <w:tcPr>
            <w:tcW w:w="0" w:type="dxa"/>
            <w:vAlign w:val="bottom"/>
          </w:tcPr>
          <w:p>
            <w:pPr>
              <w:spacing w:after="0"/>
              <w:rPr>
                <w:sz w:val="1"/>
                <w:szCs w:val="1"/>
                <w:color w:val="auto"/>
              </w:rPr>
            </w:pPr>
          </w:p>
        </w:tc>
      </w:tr>
      <w:tr>
        <w:trPr>
          <w:trHeight w:val="216"/>
        </w:trPr>
        <w:tc>
          <w:tcPr>
            <w:tcW w:w="2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(5)</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2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Tax effect of Non-GAAP</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5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adjustments</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center"/>
              <w:ind w:right="1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center"/>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w:t>
            </w:r>
          </w:p>
        </w:tc>
        <w:tc>
          <w:tcPr>
            <w:tcW w:w="480" w:type="dxa"/>
            <w:vAlign w:val="bottom"/>
            <w:tcBorders>
              <w:bottom w:val="single" w:sz="8" w:color="auto"/>
            </w:tcBorders>
            <w:shd w:val="clear" w:color="auto" w:fill="CFF0FC"/>
          </w:tcPr>
          <w:p>
            <w:pPr>
              <w:jc w:val="center"/>
              <w:ind w:right="79"/>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196"/>
        </w:trPr>
        <w:tc>
          <w:tcPr>
            <w:tcW w:w="25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adjustments</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(5)</w:t>
            </w: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9"/>
              </w:rPr>
              <w:t>5</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to</w:t>
            </w:r>
          </w:p>
        </w:tc>
        <w:tc>
          <w:tcPr>
            <w:tcW w:w="4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6</w:t>
            </w:r>
          </w:p>
        </w:tc>
        <w:tc>
          <w:tcPr>
            <w:tcW w:w="0" w:type="dxa"/>
            <w:vAlign w:val="bottom"/>
          </w:tcPr>
          <w:p>
            <w:pPr>
              <w:spacing w:after="0"/>
              <w:rPr>
                <w:sz w:val="1"/>
                <w:szCs w:val="1"/>
                <w:color w:val="auto"/>
              </w:rPr>
            </w:pPr>
          </w:p>
        </w:tc>
      </w:tr>
      <w:tr>
        <w:trPr>
          <w:trHeight w:val="236"/>
        </w:trPr>
        <w:tc>
          <w:tcPr>
            <w:tcW w:w="25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Non-GAAP</w:t>
            </w:r>
          </w:p>
        </w:tc>
        <w:tc>
          <w:tcPr>
            <w:tcW w:w="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 $</w:t>
            </w:r>
          </w:p>
        </w:tc>
        <w:tc>
          <w:tcPr>
            <w:tcW w:w="5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125</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 $</w:t>
            </w:r>
          </w:p>
        </w:tc>
        <w:tc>
          <w:tcPr>
            <w:tcW w:w="440" w:type="dxa"/>
            <w:vAlign w:val="bottom"/>
            <w:shd w:val="clear" w:color="auto" w:fill="CFF0FC"/>
          </w:tcPr>
          <w:p>
            <w:pPr>
              <w:jc w:val="center"/>
              <w:ind w:right="79"/>
              <w:spacing w:after="0"/>
              <w:rPr>
                <w:sz w:val="20"/>
                <w:szCs w:val="20"/>
                <w:color w:val="auto"/>
              </w:rPr>
            </w:pPr>
            <w:r>
              <w:rPr>
                <w:rFonts w:ascii="Times New Roman" w:cs="Times New Roman" w:eastAsia="Times New Roman" w:hAnsi="Times New Roman"/>
                <w:sz w:val="16"/>
                <w:szCs w:val="16"/>
                <w:color w:val="auto"/>
                <w:w w:val="99"/>
              </w:rPr>
              <w:t>66</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c>
          <w:tcPr>
            <w:tcW w:w="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5"/>
              </w:rPr>
              <w:t>to</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c>
          <w:tcPr>
            <w:tcW w:w="8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23</w:t>
            </w:r>
          </w:p>
        </w:tc>
        <w:tc>
          <w:tcPr>
            <w:tcW w:w="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 $</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 $</w:t>
            </w:r>
          </w:p>
        </w:tc>
        <w:tc>
          <w:tcPr>
            <w:tcW w:w="480" w:type="dxa"/>
            <w:vAlign w:val="bottom"/>
            <w:shd w:val="clear" w:color="auto" w:fill="CFF0FC"/>
          </w:tcPr>
          <w:p>
            <w:pPr>
              <w:jc w:val="center"/>
              <w:ind w:right="79"/>
              <w:spacing w:after="0"/>
              <w:rPr>
                <w:sz w:val="20"/>
                <w:szCs w:val="20"/>
                <w:color w:val="auto"/>
              </w:rPr>
            </w:pPr>
            <w:r>
              <w:rPr>
                <w:rFonts w:ascii="Times New Roman" w:cs="Times New Roman" w:eastAsia="Times New Roman" w:hAnsi="Times New Roman"/>
                <w:sz w:val="16"/>
                <w:szCs w:val="16"/>
                <w:color w:val="auto"/>
                <w:w w:val="99"/>
              </w:rPr>
              <w:t>21</w:t>
            </w:r>
          </w:p>
        </w:tc>
        <w:tc>
          <w:tcPr>
            <w:tcW w:w="0" w:type="dxa"/>
            <w:vAlign w:val="bottom"/>
          </w:tcPr>
          <w:p>
            <w:pPr>
              <w:spacing w:after="0"/>
              <w:rPr>
                <w:sz w:val="1"/>
                <w:szCs w:val="1"/>
                <w:color w:val="auto"/>
              </w:rPr>
            </w:pPr>
          </w:p>
        </w:tc>
      </w:tr>
      <w:tr>
        <w:trPr>
          <w:trHeight w:val="183"/>
        </w:trPr>
        <w:tc>
          <w:tcPr>
            <w:tcW w:w="25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As a % of revenue (GAAP)</w:t>
            </w:r>
          </w:p>
        </w:tc>
        <w:tc>
          <w:tcPr>
            <w:tcW w:w="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i w:val="1"/>
                <w:iCs w:val="1"/>
                <w:color w:val="auto"/>
              </w:rPr>
              <w:t>52.0% to</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w w:val="96"/>
              </w:rPr>
              <w:t>53.0%</w:t>
            </w:r>
          </w:p>
        </w:tc>
        <w:tc>
          <w:tcPr>
            <w:tcW w:w="1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36.5%</w:t>
            </w:r>
          </w:p>
        </w:tc>
        <w:tc>
          <w:tcPr>
            <w:tcW w:w="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5"/>
              </w:rPr>
              <w:t>to</w:t>
            </w:r>
          </w:p>
        </w:tc>
        <w:tc>
          <w:tcPr>
            <w:tcW w:w="2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34.4%</w:t>
            </w:r>
          </w:p>
        </w:tc>
        <w:tc>
          <w:tcPr>
            <w:tcW w:w="8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i w:val="1"/>
                <w:iCs w:val="1"/>
                <w:color w:val="auto"/>
              </w:rPr>
              <w:t>15.7% to</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18.4%</w:t>
            </w:r>
          </w:p>
        </w:tc>
        <w:tc>
          <w:tcPr>
            <w:tcW w:w="1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9.6%</w:t>
            </w:r>
          </w:p>
        </w:tc>
        <w:tc>
          <w:tcPr>
            <w:tcW w:w="5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i w:val="1"/>
                <w:iCs w:val="1"/>
                <w:color w:val="auto"/>
              </w:rPr>
              <w:t>to</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12.0%</w:t>
            </w:r>
          </w:p>
        </w:tc>
        <w:tc>
          <w:tcPr>
            <w:tcW w:w="0" w:type="dxa"/>
            <w:vAlign w:val="bottom"/>
          </w:tcPr>
          <w:p>
            <w:pPr>
              <w:spacing w:after="0"/>
              <w:rPr>
                <w:sz w:val="1"/>
                <w:szCs w:val="1"/>
                <w:color w:val="auto"/>
              </w:rPr>
            </w:pPr>
          </w:p>
        </w:tc>
      </w:tr>
      <w:tr>
        <w:trPr>
          <w:trHeight w:val="203"/>
        </w:trPr>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As a % of revenue (Non-GAAP)</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i w:val="1"/>
                <w:iCs w:val="1"/>
                <w:color w:val="auto"/>
              </w:rPr>
              <w:t>52.0% to</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w w:val="96"/>
              </w:rPr>
              <w:t>53.0%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32.2%</w:t>
            </w:r>
          </w:p>
        </w:tc>
        <w:tc>
          <w:tcPr>
            <w:tcW w:w="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w w:val="95"/>
              </w:rPr>
              <w:t>to</w:t>
            </w: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30.4%</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i w:val="1"/>
                <w:iCs w:val="1"/>
                <w:color w:val="auto"/>
              </w:rPr>
              <w:t>20.0% to</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22.4%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13.9%</w:t>
            </w:r>
          </w:p>
        </w:tc>
        <w:tc>
          <w:tcPr>
            <w:tcW w:w="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i w:val="1"/>
                <w:iCs w:val="1"/>
                <w:color w:val="auto"/>
              </w:rPr>
              <w:t>to</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16.8%</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share: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20" w:type="dxa"/>
            <w:vAlign w:val="bottom"/>
            <w:shd w:val="clear" w:color="auto" w:fill="CFF0FC"/>
          </w:tcPr>
          <w:p>
            <w:pPr>
              <w:ind w:left="60"/>
              <w:spacing w:after="0" w:line="202" w:lineRule="exact"/>
              <w:rPr>
                <w:sz w:val="20"/>
                <w:szCs w:val="20"/>
                <w:color w:val="auto"/>
              </w:rPr>
            </w:pPr>
            <w:r>
              <w:rPr>
                <w:rFonts w:ascii="Times New Roman" w:cs="Times New Roman" w:eastAsia="Times New Roman" w:hAnsi="Times New Roman"/>
                <w:sz w:val="18"/>
                <w:szCs w:val="18"/>
                <w:color w:val="auto"/>
              </w:rPr>
              <w:t>GAAP</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0.10</w:t>
            </w:r>
          </w:p>
        </w:tc>
        <w:tc>
          <w:tcPr>
            <w:tcW w:w="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 $</w:t>
            </w:r>
          </w:p>
        </w:tc>
        <w:tc>
          <w:tcPr>
            <w:tcW w:w="480" w:type="dxa"/>
            <w:vAlign w:val="bottom"/>
            <w:shd w:val="clear" w:color="auto" w:fill="CFF0FC"/>
          </w:tcPr>
          <w:p>
            <w:pPr>
              <w:jc w:val="center"/>
              <w:ind w:right="79"/>
              <w:spacing w:after="0"/>
              <w:rPr>
                <w:sz w:val="20"/>
                <w:szCs w:val="20"/>
                <w:color w:val="auto"/>
              </w:rPr>
            </w:pPr>
            <w:r>
              <w:rPr>
                <w:rFonts w:ascii="Times New Roman" w:cs="Times New Roman" w:eastAsia="Times New Roman" w:hAnsi="Times New Roman"/>
                <w:sz w:val="16"/>
                <w:szCs w:val="16"/>
                <w:color w:val="auto"/>
                <w:w w:val="99"/>
              </w:rPr>
              <w:t>0.14</w:t>
            </w:r>
          </w:p>
        </w:tc>
        <w:tc>
          <w:tcPr>
            <w:tcW w:w="0" w:type="dxa"/>
            <w:vAlign w:val="bottom"/>
          </w:tcPr>
          <w:p>
            <w:pPr>
              <w:spacing w:after="0"/>
              <w:rPr>
                <w:sz w:val="1"/>
                <w:szCs w:val="1"/>
                <w:color w:val="auto"/>
              </w:rPr>
            </w:pPr>
          </w:p>
        </w:tc>
      </w:tr>
      <w:tr>
        <w:trPr>
          <w:trHeight w:val="20"/>
        </w:trPr>
        <w:tc>
          <w:tcPr>
            <w:tcW w:w="25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20" w:type="dxa"/>
            <w:vAlign w:val="bottom"/>
          </w:tcPr>
          <w:p>
            <w:pPr>
              <w:ind w:left="60"/>
              <w:spacing w:after="0" w:line="183" w:lineRule="exact"/>
              <w:rPr>
                <w:sz w:val="20"/>
                <w:szCs w:val="20"/>
                <w:color w:val="auto"/>
              </w:rPr>
            </w:pPr>
            <w:r>
              <w:rPr>
                <w:rFonts w:ascii="Times New Roman" w:cs="Times New Roman" w:eastAsia="Times New Roman" w:hAnsi="Times New Roman"/>
                <w:sz w:val="18"/>
                <w:szCs w:val="18"/>
                <w:color w:val="auto"/>
              </w:rPr>
              <w:t>Non-GAAP</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0.15</w:t>
            </w:r>
          </w:p>
        </w:tc>
        <w:tc>
          <w:tcPr>
            <w:tcW w:w="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 $</w:t>
            </w:r>
          </w:p>
        </w:tc>
        <w:tc>
          <w:tcPr>
            <w:tcW w:w="4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9"/>
              </w:rPr>
              <w:t>0.19</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52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Shares used in per share</w:t>
            </w: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GAAP and Non-GAAP</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109.1</w:t>
            </w: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FY 2026 Financial Guidance</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9"/>
        </w:trPr>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center"/>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Operating Profit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cente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 $</w:t>
            </w:r>
          </w:p>
        </w:tc>
        <w:tc>
          <w:tcPr>
            <w:tcW w:w="5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495</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237</w:t>
            </w:r>
          </w:p>
        </w:tc>
        <w:tc>
          <w:tcPr>
            <w:tcW w:w="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 $</w:t>
            </w:r>
          </w:p>
        </w:tc>
        <w:tc>
          <w:tcPr>
            <w:tcW w:w="440" w:type="dxa"/>
            <w:vAlign w:val="bottom"/>
            <w:shd w:val="clear" w:color="auto" w:fill="CFF0FC"/>
          </w:tcPr>
          <w:p>
            <w:pPr>
              <w:jc w:val="center"/>
              <w:ind w:right="79"/>
              <w:spacing w:after="0"/>
              <w:rPr>
                <w:sz w:val="20"/>
                <w:szCs w:val="20"/>
                <w:color w:val="auto"/>
              </w:rPr>
            </w:pPr>
            <w:r>
              <w:rPr>
                <w:rFonts w:ascii="Times New Roman" w:cs="Times New Roman" w:eastAsia="Times New Roman" w:hAnsi="Times New Roman"/>
                <w:sz w:val="16"/>
                <w:szCs w:val="16"/>
                <w:color w:val="auto"/>
                <w:w w:val="99"/>
              </w:rPr>
              <w:t>254</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173</w:t>
            </w:r>
          </w:p>
        </w:tc>
        <w:tc>
          <w:tcPr>
            <w:tcW w:w="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5"/>
              </w:rPr>
              <w:t>to</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176</w:t>
            </w:r>
          </w:p>
        </w:tc>
        <w:tc>
          <w:tcPr>
            <w:tcW w:w="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64</w:t>
            </w:r>
          </w:p>
        </w:tc>
        <w:tc>
          <w:tcPr>
            <w:tcW w:w="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 $</w:t>
            </w:r>
          </w:p>
        </w:tc>
        <w:tc>
          <w:tcPr>
            <w:tcW w:w="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78</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c>
          <w:tcPr>
            <w:tcW w:w="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 $</w:t>
            </w:r>
          </w:p>
        </w:tc>
        <w:tc>
          <w:tcPr>
            <w:tcW w:w="480" w:type="dxa"/>
            <w:vAlign w:val="bottom"/>
            <w:shd w:val="clear" w:color="auto" w:fill="CFF0FC"/>
          </w:tcPr>
          <w:p>
            <w:pPr>
              <w:jc w:val="center"/>
              <w:ind w:right="79"/>
              <w:spacing w:after="0"/>
              <w:rPr>
                <w:sz w:val="20"/>
                <w:szCs w:val="20"/>
                <w:color w:val="auto"/>
              </w:rPr>
            </w:pPr>
            <w:r>
              <w:rPr>
                <w:rFonts w:ascii="Times New Roman" w:cs="Times New Roman" w:eastAsia="Times New Roman" w:hAnsi="Times New Roman"/>
                <w:sz w:val="16"/>
                <w:szCs w:val="16"/>
                <w:color w:val="auto"/>
                <w:w w:val="99"/>
              </w:rPr>
              <w:t>50</w:t>
            </w:r>
          </w:p>
        </w:tc>
        <w:tc>
          <w:tcPr>
            <w:tcW w:w="0" w:type="dxa"/>
            <w:vAlign w:val="bottom"/>
          </w:tcPr>
          <w:p>
            <w:pPr>
              <w:spacing w:after="0"/>
              <w:rPr>
                <w:sz w:val="1"/>
                <w:szCs w:val="1"/>
                <w:color w:val="auto"/>
              </w:rPr>
            </w:pPr>
          </w:p>
        </w:tc>
      </w:tr>
      <w:tr>
        <w:trPr>
          <w:trHeight w:val="203"/>
        </w:trPr>
        <w:tc>
          <w:tcPr>
            <w:tcW w:w="25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1</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(22)</w:t>
            </w: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9"/>
              </w:rPr>
              <w:t>23</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23</w:t>
            </w: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adjustments</w:t>
            </w:r>
          </w:p>
        </w:tc>
        <w:tc>
          <w:tcPr>
            <w:tcW w:w="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center"/>
              <w:ind w:right="119"/>
              <w:spacing w:after="0"/>
              <w:rPr>
                <w:sz w:val="20"/>
                <w:szCs w:val="20"/>
                <w:color w:val="auto"/>
              </w:rPr>
            </w:pPr>
            <w:r>
              <w:rPr>
                <w:rFonts w:ascii="Times New Roman" w:cs="Times New Roman" w:eastAsia="Times New Roman" w:hAnsi="Times New Roman"/>
                <w:sz w:val="16"/>
                <w:szCs w:val="16"/>
                <w:color w:val="auto"/>
                <w:w w:val="99"/>
              </w:rPr>
              <w:t>1</w:t>
            </w:r>
          </w:p>
        </w:tc>
        <w:tc>
          <w:tcPr>
            <w:tcW w:w="4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7"/>
              </w:rPr>
              <w:t>(22)</w:t>
            </w:r>
          </w:p>
        </w:tc>
        <w:tc>
          <w:tcPr>
            <w:tcW w:w="20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center"/>
              <w:ind w:right="19"/>
              <w:spacing w:after="0"/>
              <w:rPr>
                <w:sz w:val="20"/>
                <w:szCs w:val="20"/>
                <w:color w:val="auto"/>
              </w:rPr>
            </w:pPr>
            <w:r>
              <w:rPr>
                <w:rFonts w:ascii="Times New Roman" w:cs="Times New Roman" w:eastAsia="Times New Roman" w:hAnsi="Times New Roman"/>
                <w:sz w:val="16"/>
                <w:szCs w:val="16"/>
                <w:color w:val="auto"/>
                <w:w w:val="99"/>
              </w:rPr>
              <w:t>23</w:t>
            </w:r>
          </w:p>
        </w:tc>
        <w:tc>
          <w:tcPr>
            <w:tcW w:w="5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c>
          <w:tcPr>
            <w:tcW w:w="50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w:t>
            </w:r>
          </w:p>
        </w:tc>
        <w:tc>
          <w:tcPr>
            <w:tcW w:w="480" w:type="dxa"/>
            <w:vAlign w:val="bottom"/>
            <w:tcBorders>
              <w:bottom w:val="single" w:sz="8" w:color="auto"/>
            </w:tcBorders>
            <w:shd w:val="clear" w:color="auto" w:fill="CFF0FC"/>
          </w:tcPr>
          <w:p>
            <w:pPr>
              <w:jc w:val="center"/>
              <w:ind w:right="79"/>
              <w:spacing w:after="0"/>
              <w:rPr>
                <w:sz w:val="20"/>
                <w:szCs w:val="20"/>
                <w:color w:val="auto"/>
              </w:rPr>
            </w:pPr>
            <w:r>
              <w:rPr>
                <w:rFonts w:ascii="Times New Roman" w:cs="Times New Roman" w:eastAsia="Times New Roman" w:hAnsi="Times New Roman"/>
                <w:sz w:val="16"/>
                <w:szCs w:val="16"/>
                <w:color w:val="auto"/>
                <w:w w:val="99"/>
              </w:rPr>
              <w:t>23</w:t>
            </w:r>
          </w:p>
        </w:tc>
        <w:tc>
          <w:tcPr>
            <w:tcW w:w="0" w:type="dxa"/>
            <w:vAlign w:val="bottom"/>
          </w:tcPr>
          <w:p>
            <w:pPr>
              <w:spacing w:after="0"/>
              <w:rPr>
                <w:sz w:val="1"/>
                <w:szCs w:val="1"/>
                <w:color w:val="auto"/>
              </w:rPr>
            </w:pPr>
          </w:p>
        </w:tc>
      </w:tr>
      <w:tr>
        <w:trPr>
          <w:trHeight w:val="196"/>
        </w:trPr>
        <w:tc>
          <w:tcPr>
            <w:tcW w:w="25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Non-GAAP</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 $</w:t>
            </w:r>
          </w:p>
        </w:tc>
        <w:tc>
          <w:tcPr>
            <w:tcW w:w="5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495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238</w:t>
            </w: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 $</w:t>
            </w:r>
          </w:p>
        </w:tc>
        <w:tc>
          <w:tcPr>
            <w:tcW w:w="4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9"/>
              </w:rPr>
              <w:t>255</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151</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to</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154</w:t>
            </w:r>
          </w:p>
        </w:tc>
        <w:tc>
          <w:tcPr>
            <w:tcW w:w="8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87</w:t>
            </w:r>
          </w:p>
        </w:tc>
        <w:tc>
          <w:tcPr>
            <w:tcW w:w="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 $</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c>
          <w:tcPr>
            <w:tcW w:w="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 $</w:t>
            </w:r>
          </w:p>
        </w:tc>
        <w:tc>
          <w:tcPr>
            <w:tcW w:w="4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9"/>
              </w:rPr>
              <w:t>73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As a % of revenue (GAAP)</w:t>
            </w: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i w:val="1"/>
                <w:iCs w:val="1"/>
                <w:color w:val="auto"/>
              </w:rPr>
              <w:t>49.9% to</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w w:val="96"/>
              </w:rPr>
              <w:t>51.3%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36.4%</w:t>
            </w:r>
          </w:p>
        </w:tc>
        <w:tc>
          <w:tcPr>
            <w:tcW w:w="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w w:val="95"/>
              </w:rPr>
              <w:t>to</w:t>
            </w: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35.6%</w:t>
            </w: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i w:val="1"/>
                <w:iCs w:val="1"/>
                <w:color w:val="auto"/>
              </w:rPr>
              <w:t>13.5% to</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15.8%</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8.4%</w:t>
            </w:r>
          </w:p>
        </w:tc>
        <w:tc>
          <w:tcPr>
            <w:tcW w:w="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i w:val="1"/>
                <w:iCs w:val="1"/>
                <w:color w:val="auto"/>
              </w:rPr>
              <w:t>to</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10.1%</w:t>
            </w:r>
          </w:p>
        </w:tc>
        <w:tc>
          <w:tcPr>
            <w:tcW w:w="0" w:type="dxa"/>
            <w:vAlign w:val="bottom"/>
          </w:tcPr>
          <w:p>
            <w:pPr>
              <w:spacing w:after="0"/>
              <w:rPr>
                <w:sz w:val="1"/>
                <w:szCs w:val="1"/>
                <w:color w:val="auto"/>
              </w:rPr>
            </w:pPr>
          </w:p>
        </w:tc>
      </w:tr>
      <w:tr>
        <w:trPr>
          <w:trHeight w:val="203"/>
        </w:trPr>
        <w:tc>
          <w:tcPr>
            <w:tcW w:w="25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As a % of revenue (Non-GAAP)</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i w:val="1"/>
                <w:iCs w:val="1"/>
                <w:color w:val="auto"/>
              </w:rPr>
              <w:t>50.0% to</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w w:val="96"/>
              </w:rPr>
              <w:t>51.5%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31.8%</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5"/>
              </w:rPr>
              <w:t>to</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i w:val="1"/>
                <w:iCs w:val="1"/>
                <w:color w:val="auto"/>
              </w:rPr>
              <w:t>18.3% to</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13.2%</w:t>
            </w:r>
          </w:p>
        </w:tc>
        <w:tc>
          <w:tcPr>
            <w:tcW w:w="5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to</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14.8%</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share:</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GAAP</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0.36</w:t>
            </w:r>
          </w:p>
        </w:tc>
        <w:tc>
          <w:tcPr>
            <w:tcW w:w="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 $</w:t>
            </w:r>
          </w:p>
        </w:tc>
        <w:tc>
          <w:tcPr>
            <w:tcW w:w="4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9"/>
              </w:rPr>
              <w:t>0.45</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20" w:type="dxa"/>
            <w:vAlign w:val="bottom"/>
            <w:shd w:val="clear" w:color="auto" w:fill="CFF0FC"/>
          </w:tcPr>
          <w:p>
            <w:pPr>
              <w:ind w:left="60"/>
              <w:spacing w:after="0" w:line="183" w:lineRule="exact"/>
              <w:rPr>
                <w:sz w:val="20"/>
                <w:szCs w:val="20"/>
                <w:color w:val="auto"/>
              </w:rPr>
            </w:pPr>
            <w:r>
              <w:rPr>
                <w:rFonts w:ascii="Times New Roman" w:cs="Times New Roman" w:eastAsia="Times New Roman" w:hAnsi="Times New Roman"/>
                <w:sz w:val="18"/>
                <w:szCs w:val="18"/>
                <w:color w:val="auto"/>
              </w:rPr>
              <w:t>Non-GAAP</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0.57</w:t>
            </w:r>
          </w:p>
        </w:tc>
        <w:tc>
          <w:tcPr>
            <w:tcW w:w="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 $</w:t>
            </w:r>
          </w:p>
        </w:tc>
        <w:tc>
          <w:tcPr>
            <w:tcW w:w="480" w:type="dxa"/>
            <w:vAlign w:val="bottom"/>
            <w:shd w:val="clear" w:color="auto" w:fill="CFF0FC"/>
          </w:tcPr>
          <w:p>
            <w:pPr>
              <w:jc w:val="center"/>
              <w:ind w:right="79"/>
              <w:spacing w:after="0"/>
              <w:rPr>
                <w:sz w:val="20"/>
                <w:szCs w:val="20"/>
                <w:color w:val="auto"/>
              </w:rPr>
            </w:pPr>
            <w:r>
              <w:rPr>
                <w:rFonts w:ascii="Times New Roman" w:cs="Times New Roman" w:eastAsia="Times New Roman" w:hAnsi="Times New Roman"/>
                <w:sz w:val="16"/>
                <w:szCs w:val="16"/>
                <w:color w:val="auto"/>
                <w:w w:val="99"/>
              </w:rPr>
              <w:t>0.67</w:t>
            </w:r>
          </w:p>
        </w:tc>
        <w:tc>
          <w:tcPr>
            <w:tcW w:w="0" w:type="dxa"/>
            <w:vAlign w:val="bottom"/>
          </w:tcPr>
          <w:p>
            <w:pPr>
              <w:spacing w:after="0"/>
              <w:rPr>
                <w:sz w:val="1"/>
                <w:szCs w:val="1"/>
                <w:color w:val="auto"/>
              </w:rPr>
            </w:pPr>
          </w:p>
        </w:tc>
      </w:tr>
      <w:tr>
        <w:trPr>
          <w:trHeight w:val="174"/>
        </w:trPr>
        <w:tc>
          <w:tcPr>
            <w:tcW w:w="2520" w:type="dxa"/>
            <w:vAlign w:val="bottom"/>
            <w:tcBorders>
              <w:top w:val="single" w:sz="8" w:color="CFF0FC"/>
            </w:tcBorders>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Shares used in per share</w:t>
            </w:r>
          </w:p>
        </w:tc>
        <w:tc>
          <w:tcPr>
            <w:tcW w:w="2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360" w:type="dxa"/>
            <w:vAlign w:val="bottom"/>
            <w:tcBorders>
              <w:top w:val="single" w:sz="8" w:color="CFF0FC"/>
            </w:tcBorders>
          </w:tcPr>
          <w:p>
            <w:pPr>
              <w:spacing w:after="0"/>
              <w:rPr>
                <w:sz w:val="15"/>
                <w:szCs w:val="15"/>
                <w:color w:val="auto"/>
              </w:rPr>
            </w:pPr>
          </w:p>
        </w:tc>
        <w:tc>
          <w:tcPr>
            <w:tcW w:w="600" w:type="dxa"/>
            <w:vAlign w:val="bottom"/>
            <w:tcBorders>
              <w:top w:val="single" w:sz="8" w:color="CFF0FC"/>
            </w:tcBorders>
          </w:tcPr>
          <w:p>
            <w:pPr>
              <w:spacing w:after="0"/>
              <w:rPr>
                <w:sz w:val="15"/>
                <w:szCs w:val="15"/>
                <w:color w:val="auto"/>
              </w:rPr>
            </w:pPr>
          </w:p>
        </w:tc>
        <w:tc>
          <w:tcPr>
            <w:tcW w:w="50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460" w:type="dxa"/>
            <w:vAlign w:val="bottom"/>
            <w:tcBorders>
              <w:top w:val="single" w:sz="8" w:color="CFF0FC"/>
            </w:tcBorders>
          </w:tcPr>
          <w:p>
            <w:pPr>
              <w:spacing w:after="0"/>
              <w:rPr>
                <w:sz w:val="15"/>
                <w:szCs w:val="15"/>
                <w:color w:val="auto"/>
              </w:rPr>
            </w:pPr>
          </w:p>
        </w:tc>
        <w:tc>
          <w:tcPr>
            <w:tcW w:w="560" w:type="dxa"/>
            <w:vAlign w:val="bottom"/>
            <w:tcBorders>
              <w:top w:val="single" w:sz="8" w:color="CFF0FC"/>
            </w:tcBorders>
          </w:tcPr>
          <w:p>
            <w:pPr>
              <w:spacing w:after="0"/>
              <w:rPr>
                <w:sz w:val="15"/>
                <w:szCs w:val="15"/>
                <w:color w:val="auto"/>
              </w:rPr>
            </w:pPr>
          </w:p>
        </w:tc>
        <w:tc>
          <w:tcPr>
            <w:tcW w:w="4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600" w:type="dxa"/>
            <w:vAlign w:val="bottom"/>
            <w:tcBorders>
              <w:top w:val="single" w:sz="8" w:color="CFF0FC"/>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5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420" w:type="dxa"/>
            <w:vAlign w:val="bottom"/>
            <w:tcBorders>
              <w:top w:val="single" w:sz="8" w:color="CFF0FC"/>
            </w:tcBorders>
          </w:tcPr>
          <w:p>
            <w:pPr>
              <w:spacing w:after="0"/>
              <w:rPr>
                <w:sz w:val="15"/>
                <w:szCs w:val="15"/>
                <w:color w:val="auto"/>
              </w:rPr>
            </w:pPr>
          </w:p>
        </w:tc>
        <w:tc>
          <w:tcPr>
            <w:tcW w:w="500" w:type="dxa"/>
            <w:vAlign w:val="bottom"/>
            <w:tcBorders>
              <w:top w:val="single" w:sz="8" w:color="CFF0FC"/>
            </w:tcBorders>
          </w:tcPr>
          <w:p>
            <w:pPr>
              <w:spacing w:after="0"/>
              <w:rPr>
                <w:sz w:val="15"/>
                <w:szCs w:val="15"/>
                <w:color w:val="auto"/>
              </w:rPr>
            </w:pPr>
          </w:p>
        </w:tc>
        <w:tc>
          <w:tcPr>
            <w:tcW w:w="5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20" w:type="dxa"/>
            <w:vAlign w:val="bottom"/>
            <w:tcBorders>
              <w:bottom w:val="single" w:sz="8" w:color="CFF0FC"/>
            </w:tcBorders>
            <w:shd w:val="clear" w:color="auto" w:fill="CFF0FC"/>
          </w:tcPr>
          <w:p>
            <w:pPr>
              <w:ind w:left="60"/>
              <w:spacing w:after="0" w:line="202" w:lineRule="exact"/>
              <w:rPr>
                <w:sz w:val="20"/>
                <w:szCs w:val="20"/>
                <w:color w:val="auto"/>
              </w:rPr>
            </w:pPr>
            <w:r>
              <w:rPr>
                <w:rFonts w:ascii="Times New Roman" w:cs="Times New Roman" w:eastAsia="Times New Roman" w:hAnsi="Times New Roman"/>
                <w:sz w:val="18"/>
                <w:szCs w:val="18"/>
                <w:color w:val="auto"/>
              </w:rPr>
              <w:t>GAAP and non-GAAP</w:t>
            </w:r>
          </w:p>
        </w:tc>
        <w:tc>
          <w:tcPr>
            <w:tcW w:w="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gridSpan w:val="2"/>
            <w:shd w:val="clear" w:color="auto" w:fill="CFF0FC"/>
          </w:tcPr>
          <w:p>
            <w:pPr>
              <w:jc w:val="center"/>
              <w:ind w:left="220"/>
              <w:spacing w:after="0"/>
              <w:rPr>
                <w:sz w:val="20"/>
                <w:szCs w:val="20"/>
                <w:color w:val="auto"/>
              </w:rPr>
            </w:pPr>
            <w:r>
              <w:rPr>
                <w:rFonts w:ascii="Times New Roman" w:cs="Times New Roman" w:eastAsia="Times New Roman" w:hAnsi="Times New Roman"/>
                <w:sz w:val="16"/>
                <w:szCs w:val="16"/>
                <w:color w:val="auto"/>
              </w:rPr>
              <w:t>110.0</w:t>
            </w:r>
          </w:p>
        </w:tc>
        <w:tc>
          <w:tcPr>
            <w:tcW w:w="48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1688465" cy="508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688465" cy="5080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-3702685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-3702685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-3702685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-3702685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-3428365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-3411220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-3428365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-3411220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-3428365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-3411220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-3428365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-3411220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-1293495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-1293495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-1293495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-1293495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Components may not sum to total due to rounding.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lvl>
    <w:lvl w:ilvl="1">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2026-05-11T15:21:20Z</dcterms:created>
  <dcterms:modified xsi:type="dcterms:W3CDTF">2026-05-11T15:21:20Z</dcterms:modified>
</cp:coreProperties>
</file>