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59"/>
        <w:spacing w:after="0" w:line="368" w:lineRule="exact"/>
        <w:rPr>
          <w:sz w:val="20"/>
          <w:szCs w:val="20"/>
          <w:color w:val="auto"/>
        </w:rPr>
      </w:pPr>
      <w:r>
        <w:rPr>
          <w:rFonts w:ascii="Arial" w:cs="Arial" w:eastAsia="Arial" w:hAnsi="Arial"/>
          <w:sz w:val="32"/>
          <w:szCs w:val="32"/>
          <w:b w:val="1"/>
          <w:bCs w:val="1"/>
          <w:color w:val="auto"/>
        </w:rPr>
        <w:t>FORM 8</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K</w:t>
      </w:r>
    </w:p>
    <w:p>
      <w:pPr>
        <w:spacing w:after="0" w:line="23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Pursuant to Section 13 or 15(d) of</w:t>
      </w:r>
    </w:p>
    <w:p>
      <w:pPr>
        <w:jc w:val="center"/>
        <w:ind w:right="-59"/>
        <w:spacing w:after="0"/>
        <w:rPr>
          <w:sz w:val="20"/>
          <w:szCs w:val="20"/>
          <w:color w:val="auto"/>
        </w:rPr>
      </w:pPr>
      <w:r>
        <w:rPr>
          <w:rFonts w:ascii="Arial" w:cs="Arial" w:eastAsia="Arial" w:hAnsi="Arial"/>
          <w:sz w:val="20"/>
          <w:szCs w:val="20"/>
          <w:b w:val="1"/>
          <w:bCs w:val="1"/>
          <w:color w:val="auto"/>
        </w:rPr>
        <w:t>the Securities Exchange Act of 1934</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July 9, 2019</w:t>
      </w: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Harmonic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p>
      <w:pPr>
        <w:ind w:left="1300"/>
        <w:spacing w:after="0"/>
        <w:tabs>
          <w:tab w:leader="none" w:pos="5200" w:val="left"/>
          <w:tab w:leader="none" w:pos="910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000-25826</w:t>
      </w:r>
      <w:r>
        <w:rPr>
          <w:sz w:val="20"/>
          <w:szCs w:val="20"/>
          <w:color w:val="auto"/>
        </w:rPr>
        <w:tab/>
      </w:r>
      <w:r>
        <w:rPr>
          <w:rFonts w:ascii="Arial" w:cs="Arial" w:eastAsia="Arial" w:hAnsi="Arial"/>
          <w:sz w:val="16"/>
          <w:szCs w:val="16"/>
          <w:b w:val="1"/>
          <w:bCs w:val="1"/>
          <w:color w:val="auto"/>
        </w:rPr>
        <w:t>77-0201147</w:t>
      </w:r>
    </w:p>
    <w:p>
      <w:pPr>
        <w:spacing w:after="0" w:line="67" w:lineRule="exact"/>
        <w:rPr>
          <w:sz w:val="24"/>
          <w:szCs w:val="24"/>
          <w:color w:val="auto"/>
        </w:rPr>
      </w:pPr>
    </w:p>
    <w:p>
      <w:pPr>
        <w:ind w:left="80"/>
        <w:spacing w:after="0"/>
        <w:tabs>
          <w:tab w:leader="none" w:pos="4600" w:val="left"/>
          <w:tab w:leader="none" w:pos="8960" w:val="left"/>
        </w:tabs>
        <w:rPr>
          <w:sz w:val="20"/>
          <w:szCs w:val="20"/>
          <w:color w:val="auto"/>
        </w:rPr>
      </w:pPr>
      <w:r>
        <w:rPr>
          <w:rFonts w:ascii="Arial" w:cs="Arial" w:eastAsia="Arial" w:hAnsi="Arial"/>
          <w:sz w:val="18"/>
          <w:szCs w:val="18"/>
          <w:color w:val="auto"/>
        </w:rPr>
        <w:t>(State or other jurisdiction of incorporation)</w:t>
      </w:r>
      <w:r>
        <w:rPr>
          <w:sz w:val="20"/>
          <w:szCs w:val="20"/>
          <w:color w:val="auto"/>
        </w:rPr>
        <w:tab/>
      </w:r>
      <w:r>
        <w:rPr>
          <w:rFonts w:ascii="Arial" w:cs="Arial" w:eastAsia="Arial" w:hAnsi="Arial"/>
          <w:sz w:val="18"/>
          <w:szCs w:val="18"/>
          <w:color w:val="auto"/>
        </w:rPr>
        <w:t>(Commission File Number)</w:t>
      </w:r>
      <w:r>
        <w:rPr>
          <w:sz w:val="20"/>
          <w:szCs w:val="20"/>
          <w:color w:val="auto"/>
        </w:rPr>
        <w:tab/>
      </w:r>
      <w:r>
        <w:rPr>
          <w:rFonts w:ascii="Arial" w:cs="Arial" w:eastAsia="Arial" w:hAnsi="Arial"/>
          <w:sz w:val="16"/>
          <w:szCs w:val="16"/>
          <w:color w:val="auto"/>
        </w:rPr>
        <w:t>(IRS Employer</w:t>
      </w:r>
    </w:p>
    <w:p>
      <w:pPr>
        <w:spacing w:after="0" w:line="23" w:lineRule="exact"/>
        <w:rPr>
          <w:sz w:val="24"/>
          <w:szCs w:val="24"/>
          <w:color w:val="auto"/>
        </w:rPr>
      </w:pPr>
    </w:p>
    <w:p>
      <w:pPr>
        <w:ind w:left="8880"/>
        <w:spacing w:after="0"/>
        <w:rPr>
          <w:sz w:val="20"/>
          <w:szCs w:val="20"/>
          <w:color w:val="auto"/>
        </w:rPr>
      </w:pPr>
      <w:r>
        <w:rPr>
          <w:rFonts w:ascii="Arial" w:cs="Arial" w:eastAsia="Arial" w:hAnsi="Arial"/>
          <w:sz w:val="18"/>
          <w:szCs w:val="18"/>
          <w:color w:val="auto"/>
        </w:rPr>
        <w:t>Identification No.)</w:t>
      </w:r>
    </w:p>
    <w:p>
      <w:pPr>
        <w:spacing w:after="0" w:line="200" w:lineRule="exact"/>
        <w:rPr>
          <w:sz w:val="24"/>
          <w:szCs w:val="24"/>
          <w:color w:val="auto"/>
        </w:rPr>
      </w:pPr>
    </w:p>
    <w:p>
      <w:pPr>
        <w:spacing w:after="0" w:line="2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4300 North First Street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San Jose, CA 95134</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(408) 542-2500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86"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73" w:lineRule="exact"/>
        <w:rPr>
          <w:sz w:val="24"/>
          <w:szCs w:val="24"/>
          <w:color w:val="auto"/>
        </w:rPr>
      </w:pPr>
    </w:p>
    <w:p>
      <w:pPr>
        <w:ind w:left="960" w:hanging="466"/>
        <w:spacing w:after="0"/>
        <w:tabs>
          <w:tab w:leader="none" w:pos="960" w:val="left"/>
        </w:tabs>
        <w:numPr>
          <w:ilvl w:val="0"/>
          <w:numId w:val="1"/>
        </w:numPr>
        <w:rPr>
          <w:rFonts w:ascii="MS PGothic" w:cs="MS PGothic" w:eastAsia="MS PGothic" w:hAnsi="MS PGothic"/>
          <w:sz w:val="29"/>
          <w:szCs w:val="29"/>
          <w:color w:val="auto"/>
          <w:vertAlign w:val="superscript"/>
        </w:rPr>
      </w:pPr>
      <w:r>
        <w:rPr>
          <w:rFonts w:ascii="Arial" w:cs="Arial" w:eastAsia="Arial" w:hAnsi="Arial"/>
          <w:sz w:val="18"/>
          <w:szCs w:val="18"/>
          <w:color w:val="auto"/>
        </w:rPr>
        <w:t>Written communications pursuant to Rule 425 under the Securities Act (17 CFR 230.425)</w:t>
      </w:r>
    </w:p>
    <w:p>
      <w:pPr>
        <w:spacing w:after="0" w:line="331" w:lineRule="exact"/>
        <w:rPr>
          <w:rFonts w:ascii="MS PGothic" w:cs="MS PGothic" w:eastAsia="MS PGothic" w:hAnsi="MS PGothic"/>
          <w:sz w:val="29"/>
          <w:szCs w:val="29"/>
          <w:color w:val="auto"/>
          <w:vertAlign w:val="superscript"/>
        </w:rPr>
      </w:pPr>
    </w:p>
    <w:p>
      <w:pPr>
        <w:ind w:left="960" w:hanging="466"/>
        <w:spacing w:after="0"/>
        <w:tabs>
          <w:tab w:leader="none" w:pos="960" w:val="left"/>
        </w:tabs>
        <w:numPr>
          <w:ilvl w:val="0"/>
          <w:numId w:val="1"/>
        </w:numPr>
        <w:rPr>
          <w:rFonts w:ascii="MS PGothic" w:cs="MS PGothic" w:eastAsia="MS PGothic" w:hAnsi="MS PGothic"/>
          <w:sz w:val="29"/>
          <w:szCs w:val="29"/>
          <w:color w:val="auto"/>
          <w:vertAlign w:val="superscript"/>
        </w:rPr>
      </w:pPr>
      <w:r>
        <w:rPr>
          <w:rFonts w:ascii="Arial" w:cs="Arial" w:eastAsia="Arial" w:hAnsi="Arial"/>
          <w:sz w:val="18"/>
          <w:szCs w:val="18"/>
          <w:color w:val="auto"/>
        </w:rPr>
        <w:t>Soliciting material pursuant to Rule 14a-12 under the Exchange Act (17 CFR 240.14a-12)</w:t>
      </w:r>
    </w:p>
    <w:p>
      <w:pPr>
        <w:spacing w:after="0" w:line="331" w:lineRule="exact"/>
        <w:rPr>
          <w:rFonts w:ascii="MS PGothic" w:cs="MS PGothic" w:eastAsia="MS PGothic" w:hAnsi="MS PGothic"/>
          <w:sz w:val="29"/>
          <w:szCs w:val="29"/>
          <w:color w:val="auto"/>
          <w:vertAlign w:val="superscript"/>
        </w:rPr>
      </w:pPr>
    </w:p>
    <w:p>
      <w:pPr>
        <w:ind w:left="960" w:hanging="466"/>
        <w:spacing w:after="0"/>
        <w:tabs>
          <w:tab w:leader="none" w:pos="960" w:val="left"/>
        </w:tabs>
        <w:numPr>
          <w:ilvl w:val="0"/>
          <w:numId w:val="1"/>
        </w:numPr>
        <w:rPr>
          <w:rFonts w:ascii="MS PGothic" w:cs="MS PGothic" w:eastAsia="MS PGothic" w:hAnsi="MS PGothic"/>
          <w:sz w:val="29"/>
          <w:szCs w:val="29"/>
          <w:color w:val="auto"/>
          <w:vertAlign w:val="superscript"/>
        </w:rPr>
      </w:pPr>
      <w:r>
        <w:rPr>
          <w:rFonts w:ascii="Arial" w:cs="Arial" w:eastAsia="Arial" w:hAnsi="Arial"/>
          <w:sz w:val="18"/>
          <w:szCs w:val="18"/>
          <w:color w:val="auto"/>
        </w:rPr>
        <w:t>Pre-commencement communications pursuant to Rule 14d-2(b) under the Exchange Act (17 CFR 240.14d-2(b))</w:t>
      </w:r>
    </w:p>
    <w:p>
      <w:pPr>
        <w:spacing w:after="0" w:line="390" w:lineRule="exact"/>
        <w:rPr>
          <w:rFonts w:ascii="MS PGothic" w:cs="MS PGothic" w:eastAsia="MS PGothic" w:hAnsi="MS PGothic"/>
          <w:sz w:val="29"/>
          <w:szCs w:val="29"/>
          <w:color w:val="auto"/>
          <w:vertAlign w:val="superscript"/>
        </w:rPr>
      </w:pPr>
    </w:p>
    <w:p>
      <w:pPr>
        <w:ind w:right="2360" w:firstLine="494"/>
        <w:spacing w:after="0" w:line="494" w:lineRule="auto"/>
        <w:tabs>
          <w:tab w:leader="none" w:pos="945" w:val="left"/>
        </w:tabs>
        <w:numPr>
          <w:ilvl w:val="0"/>
          <w:numId w:val="1"/>
        </w:numPr>
        <w:rPr>
          <w:rFonts w:ascii="MS PGothic" w:cs="MS PGothic" w:eastAsia="MS PGothic" w:hAnsi="MS PGothic"/>
          <w:sz w:val="29"/>
          <w:szCs w:val="29"/>
          <w:color w:val="auto"/>
          <w:vertAlign w:val="superscript"/>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11" w:lineRule="exact"/>
        <w:rPr>
          <w:sz w:val="24"/>
          <w:szCs w:val="24"/>
          <w:color w:val="auto"/>
        </w:rPr>
      </w:pPr>
    </w:p>
    <w:p>
      <w:pPr>
        <w:ind w:left="1380"/>
        <w:spacing w:after="0"/>
        <w:tabs>
          <w:tab w:leader="none" w:pos="5040" w:val="left"/>
          <w:tab w:leader="none" w:pos="7840" w:val="left"/>
        </w:tabs>
        <w:rPr>
          <w:sz w:val="20"/>
          <w:szCs w:val="20"/>
          <w:color w:val="auto"/>
        </w:rPr>
      </w:pPr>
      <w:r>
        <w:rPr>
          <w:rFonts w:ascii="Arial" w:cs="Arial" w:eastAsia="Arial" w:hAnsi="Arial"/>
          <w:sz w:val="18"/>
          <w:szCs w:val="18"/>
          <w:color w:val="auto"/>
        </w:rPr>
        <w:t>Title of each class</w:t>
      </w:r>
      <w:r>
        <w:rPr>
          <w:sz w:val="20"/>
          <w:szCs w:val="20"/>
          <w:color w:val="auto"/>
        </w:rPr>
        <w:tab/>
      </w:r>
      <w:r>
        <w:rPr>
          <w:rFonts w:ascii="Arial" w:cs="Arial" w:eastAsia="Arial" w:hAnsi="Arial"/>
          <w:sz w:val="18"/>
          <w:szCs w:val="18"/>
          <w:color w:val="auto"/>
        </w:rPr>
        <w:t>Trading Symbol(s)</w:t>
      </w:r>
      <w:r>
        <w:rPr>
          <w:sz w:val="20"/>
          <w:szCs w:val="20"/>
          <w:color w:val="auto"/>
        </w:rPr>
        <w:tab/>
      </w:r>
      <w:r>
        <w:rPr>
          <w:rFonts w:ascii="Arial" w:cs="Arial" w:eastAsia="Arial" w:hAnsi="Arial"/>
          <w:sz w:val="16"/>
          <w:szCs w:val="16"/>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679" w:right="299" w:bottom="0" w:gutter="0" w:footer="0" w:header="0"/>
        </w:sectPr>
      </w:pPr>
    </w:p>
    <w:p>
      <w:pPr>
        <w:spacing w:after="0" w:line="200" w:lineRule="exact"/>
        <w:rPr>
          <w:sz w:val="24"/>
          <w:szCs w:val="24"/>
          <w:color w:val="auto"/>
        </w:rPr>
      </w:pPr>
    </w:p>
    <w:p>
      <w:pPr>
        <w:spacing w:after="0" w:line="201" w:lineRule="exact"/>
        <w:rPr>
          <w:sz w:val="24"/>
          <w:szCs w:val="24"/>
          <w:color w:val="auto"/>
        </w:rPr>
      </w:pPr>
    </w:p>
    <w:p>
      <w:pPr>
        <w:ind w:left="48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jc w:val="right"/>
        <w:ind w:right="660"/>
        <w:spacing w:after="0"/>
        <w:rPr>
          <w:sz w:val="20"/>
          <w:szCs w:val="20"/>
          <w:color w:val="auto"/>
        </w:rPr>
      </w:pPr>
      <w:r>
        <w:rPr>
          <w:rFonts w:ascii="Arial" w:cs="Arial" w:eastAsia="Arial" w:hAnsi="Arial"/>
          <w:sz w:val="18"/>
          <w:szCs w:val="18"/>
          <w:color w:val="auto"/>
        </w:rPr>
        <w:t>The NASDAQ Stock Market LLC</w:t>
      </w:r>
    </w:p>
    <w:p>
      <w:pPr>
        <w:spacing w:after="0"/>
        <w:rPr>
          <w:sz w:val="20"/>
          <w:szCs w:val="20"/>
          <w:color w:val="auto"/>
        </w:rPr>
      </w:pPr>
      <w:r>
        <w:rPr>
          <w:rFonts w:ascii="Arial" w:cs="Arial" w:eastAsia="Arial" w:hAnsi="Arial"/>
          <w:sz w:val="18"/>
          <w:szCs w:val="18"/>
          <w:color w:val="auto"/>
        </w:rPr>
        <w:t>HLIT</w:t>
      </w:r>
    </w:p>
    <w:p>
      <w:pPr>
        <w:spacing w:after="0" w:line="309" w:lineRule="exact"/>
        <w:rPr>
          <w:sz w:val="24"/>
          <w:szCs w:val="24"/>
          <w:color w:val="auto"/>
        </w:rPr>
      </w:pPr>
    </w:p>
    <w:p>
      <w:pPr>
        <w:sectPr>
          <w:pgSz w:w="11900" w:h="16838" w:orient="portrait"/>
          <w:cols w:equalWidth="0" w:num="2">
            <w:col w:w="4820" w:space="720"/>
            <w:col w:w="5820"/>
          </w:cols>
          <w:pgMar w:left="240" w:top="679" w:right="299" w:bottom="0" w:gutter="0" w:footer="0" w:header="0"/>
          <w:type w:val="continuous"/>
        </w:sectPr>
      </w:pPr>
    </w:p>
    <w:p>
      <w:pPr>
        <w:spacing w:after="0" w:line="345" w:lineRule="exact"/>
        <w:rPr>
          <w:sz w:val="24"/>
          <w:szCs w:val="24"/>
          <w:color w:val="auto"/>
        </w:rPr>
      </w:pPr>
    </w:p>
    <w:p>
      <w:pPr>
        <w:ind w:right="26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29"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5" w:lineRule="exact"/>
        <w:rPr>
          <w:sz w:val="24"/>
          <w:szCs w:val="24"/>
          <w:color w:val="auto"/>
        </w:rPr>
      </w:pPr>
    </w:p>
    <w:p>
      <w:pPr>
        <w:jc w:val="both"/>
        <w:spacing w:after="0" w:line="314" w:lineRule="auto"/>
        <w:rPr>
          <w:sz w:val="20"/>
          <w:szCs w:val="20"/>
          <w:color w:val="auto"/>
        </w:rPr>
      </w:pPr>
      <w:r>
        <w:rPr>
          <w:rFonts w:ascii="Arial" w:cs="Arial" w:eastAsia="Arial" w:hAnsi="Arial"/>
          <w:sz w:val="16"/>
          <w:szCs w:val="16"/>
          <w:color w:val="auto"/>
        </w:rPr>
        <w:t>Harmonic Inc. (the “</w:t>
      </w:r>
      <w:r>
        <w:rPr>
          <w:rFonts w:ascii="Arial" w:cs="Arial" w:eastAsia="Arial" w:hAnsi="Arial"/>
          <w:sz w:val="16"/>
          <w:szCs w:val="16"/>
          <w:b w:val="1"/>
          <w:bCs w:val="1"/>
          <w:color w:val="auto"/>
        </w:rPr>
        <w:t>Company</w:t>
      </w:r>
      <w:r>
        <w:rPr>
          <w:rFonts w:ascii="Arial" w:cs="Arial" w:eastAsia="Arial" w:hAnsi="Arial"/>
          <w:sz w:val="16"/>
          <w:szCs w:val="16"/>
          <w:color w:val="auto"/>
        </w:rPr>
        <w:t>”) announced today that Comcast Cable Communications Management, LLC (“</w:t>
      </w:r>
      <w:r>
        <w:rPr>
          <w:rFonts w:ascii="Arial" w:cs="Arial" w:eastAsia="Arial" w:hAnsi="Arial"/>
          <w:sz w:val="16"/>
          <w:szCs w:val="16"/>
          <w:b w:val="1"/>
          <w:bCs w:val="1"/>
          <w:color w:val="auto"/>
        </w:rPr>
        <w:t>CCCM</w:t>
      </w:r>
      <w:r>
        <w:rPr>
          <w:rFonts w:ascii="Arial" w:cs="Arial" w:eastAsia="Arial" w:hAnsi="Arial"/>
          <w:sz w:val="16"/>
          <w:szCs w:val="16"/>
          <w:color w:val="auto"/>
        </w:rPr>
        <w:t>”), an affiliate of Comcast Corporation (“</w:t>
      </w:r>
      <w:r>
        <w:rPr>
          <w:rFonts w:ascii="Arial" w:cs="Arial" w:eastAsia="Arial" w:hAnsi="Arial"/>
          <w:sz w:val="16"/>
          <w:szCs w:val="16"/>
          <w:b w:val="1"/>
          <w:bCs w:val="1"/>
          <w:color w:val="auto"/>
        </w:rPr>
        <w:t>Comcast</w:t>
      </w:r>
      <w:r>
        <w:rPr>
          <w:rFonts w:ascii="Arial" w:cs="Arial" w:eastAsia="Arial" w:hAnsi="Arial"/>
          <w:sz w:val="16"/>
          <w:szCs w:val="16"/>
          <w:color w:val="auto"/>
        </w:rPr>
        <w:t>”), has elected enterprise license pricing for the Company’s CableOS software (the “</w:t>
      </w:r>
      <w:r>
        <w:rPr>
          <w:rFonts w:ascii="Arial" w:cs="Arial" w:eastAsia="Arial" w:hAnsi="Arial"/>
          <w:sz w:val="16"/>
          <w:szCs w:val="16"/>
          <w:b w:val="1"/>
          <w:bCs w:val="1"/>
          <w:color w:val="auto"/>
        </w:rPr>
        <w:t>Election</w:t>
      </w:r>
      <w:r>
        <w:rPr>
          <w:rFonts w:ascii="Arial" w:cs="Arial" w:eastAsia="Arial" w:hAnsi="Arial"/>
          <w:sz w:val="16"/>
          <w:szCs w:val="16"/>
          <w:color w:val="auto"/>
        </w:rPr>
        <w:t>”) as contemplated under certain existing commercial agreements between the Company and CCCM. In connection with the Election, which is effective as of July 1, 2019 (the “</w:t>
      </w:r>
      <w:r>
        <w:rPr>
          <w:rFonts w:ascii="Arial" w:cs="Arial" w:eastAsia="Arial" w:hAnsi="Arial"/>
          <w:sz w:val="16"/>
          <w:szCs w:val="16"/>
          <w:b w:val="1"/>
          <w:bCs w:val="1"/>
          <w:color w:val="auto"/>
        </w:rPr>
        <w:t>Effective Date</w:t>
      </w:r>
      <w:r>
        <w:rPr>
          <w:rFonts w:ascii="Arial" w:cs="Arial" w:eastAsia="Arial" w:hAnsi="Arial"/>
          <w:sz w:val="16"/>
          <w:szCs w:val="16"/>
          <w:color w:val="auto"/>
        </w:rPr>
        <w:t>”), CCCM</w:t>
      </w:r>
    </w:p>
    <w:p>
      <w:pPr>
        <w:sectPr>
          <w:pgSz w:w="11900" w:h="16838" w:orient="portrait"/>
          <w:cols w:equalWidth="0" w:num="1">
            <w:col w:w="11360"/>
          </w:cols>
          <w:pgMar w:left="240" w:top="679" w:right="299" w:bottom="0" w:gutter="0" w:footer="0" w:header="0"/>
          <w:type w:val="continuous"/>
        </w:sectPr>
      </w:pPr>
    </w:p>
    <w:bookmarkStart w:id="1" w:name="page2"/>
    <w:bookmarkEnd w:id="1"/>
    <w:p>
      <w:pPr>
        <w:ind w:right="40"/>
        <w:spacing w:after="0" w:line="342" w:lineRule="auto"/>
        <w:rPr>
          <w:sz w:val="20"/>
          <w:szCs w:val="20"/>
          <w:color w:val="auto"/>
        </w:rPr>
      </w:pPr>
      <w:r>
        <w:rPr>
          <w:rFonts w:ascii="Arial" w:cs="Arial" w:eastAsia="Arial" w:hAnsi="Arial"/>
          <w:sz w:val="16"/>
          <w:szCs w:val="16"/>
          <w:color w:val="auto"/>
        </w:rPr>
        <w:t>committed to $175 million in software license fees over the four year term of the enterprise license, subject to certain incentive credits that may be earned by CCCM pursuant to other purchases of CableOS-related products. CCCM will pay the initial $50 million of the enterprise license fees in 2019.</w:t>
      </w:r>
    </w:p>
    <w:p>
      <w:pPr>
        <w:spacing w:after="0" w:line="12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previously issued a Warrant to Purchase Shares of Common Stock of the Company to Comcast on September 26, 2016. Pursuant to the terms and conditions of the Warrant, Comcast has the right to purchase up to 7,816,162 shares (the “</w:t>
      </w:r>
      <w:r>
        <w:rPr>
          <w:rFonts w:ascii="Arial" w:cs="Arial" w:eastAsia="Arial" w:hAnsi="Arial"/>
          <w:sz w:val="17"/>
          <w:szCs w:val="17"/>
          <w:b w:val="1"/>
          <w:bCs w:val="1"/>
          <w:color w:val="auto"/>
        </w:rPr>
        <w:t>Warrant Shares</w:t>
      </w:r>
      <w:r>
        <w:rPr>
          <w:rFonts w:ascii="Arial" w:cs="Arial" w:eastAsia="Arial" w:hAnsi="Arial"/>
          <w:sz w:val="17"/>
          <w:szCs w:val="17"/>
          <w:color w:val="auto"/>
        </w:rPr>
        <w:t>”) of the Company’s common stock, par value $0.001 per share, at an exercise price of $4.76, subject to vesting upon Comcast’s achievement of certain milestones and thresholds. Prior to the Effective Date, Comcast had already vested in 1,954,042 Warrant Shares as a result of the achievement of certain milestones.</w:t>
      </w:r>
    </w:p>
    <w:p>
      <w:pPr>
        <w:spacing w:after="0" w:line="171"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In consideration for the Election commitments and certain other purchase commitments, the Company deemed that all of the remaining milestones and thresholds required to fulfill each of the vesting requirements of the Warrant were satisfied and achieved or otherwise waived such that all Warrant Shares were fully vested and exercisable as of the Effective Date. The remaining terms of the Warrant have not been modified or amended.</w:t>
      </w:r>
    </w:p>
    <w:p>
      <w:pPr>
        <w:spacing w:after="0" w:line="14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Warrant was attached as Exhibit 4.5 to the Company’s Annual Report on Form 10-K filed with the Securities and Exchange Commission on March 1, 2019.</w:t>
      </w:r>
    </w:p>
    <w:p>
      <w:pPr>
        <w:sectPr>
          <w:pgSz w:w="11900" w:h="16838" w:orient="portrait"/>
          <w:cols w:equalWidth="0" w:num="1">
            <w:col w:w="11340"/>
          </w:cols>
          <w:pgMar w:left="240" w:top="125" w:right="3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HARMONIC INC.</w:t>
      </w:r>
    </w:p>
    <w:p>
      <w:pPr>
        <w:spacing w:after="0" w:line="67" w:lineRule="exact"/>
        <w:rPr>
          <w:sz w:val="20"/>
          <w:szCs w:val="20"/>
          <w:color w:val="auto"/>
        </w:rPr>
      </w:pPr>
    </w:p>
    <w:p>
      <w:pPr>
        <w:ind w:left="40"/>
        <w:spacing w:after="0"/>
        <w:tabs>
          <w:tab w:leader="none" w:pos="6520" w:val="left"/>
        </w:tabs>
        <w:rPr>
          <w:sz w:val="20"/>
          <w:szCs w:val="20"/>
          <w:color w:val="auto"/>
        </w:rPr>
      </w:pPr>
      <w:r>
        <w:rPr>
          <w:rFonts w:ascii="Arial" w:cs="Arial" w:eastAsia="Arial" w:hAnsi="Arial"/>
          <w:sz w:val="18"/>
          <w:szCs w:val="18"/>
          <w:color w:val="auto"/>
        </w:rPr>
        <w:t>Date: July 9, 2019</w:t>
      </w:r>
      <w:r>
        <w:rPr>
          <w:sz w:val="20"/>
          <w:szCs w:val="20"/>
          <w:color w:val="auto"/>
        </w:rPr>
        <w:tab/>
      </w:r>
      <w:r>
        <w:rPr>
          <w:rFonts w:ascii="Arial" w:cs="Arial" w:eastAsia="Arial" w:hAnsi="Arial"/>
          <w:sz w:val="16"/>
          <w:szCs w:val="16"/>
          <w:u w:val="single" w:color="auto"/>
          <w:color w:val="auto"/>
        </w:rPr>
        <w:t>/s/ Sanjay Kalra</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Sanjay Kalra</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6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2019-12-01T02:54:48Z</dcterms:created>
  <dcterms:modified xsi:type="dcterms:W3CDTF">2019-12-01T02:54:48Z</dcterms:modified>
</cp:coreProperties>
</file>