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4, 2026</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HARMONIC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2120" w:type="dxa"/>
            <w:vAlign w:val="bottom"/>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20" w:type="dxa"/>
            <w:vAlign w:val="bottom"/>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9"/>
              </w:rPr>
              <w:t>000-25826</w:t>
            </w: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rPr>
              <w:t>77-0201147</w:t>
            </w:r>
          </w:p>
        </w:tc>
      </w:tr>
      <w:tr>
        <w:trPr>
          <w:trHeight w:val="191"/>
        </w:trPr>
        <w:tc>
          <w:tcPr>
            <w:tcW w:w="212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2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2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120" w:type="dxa"/>
            <w:vAlign w:val="bottom"/>
          </w:tcPr>
          <w:p>
            <w:pPr>
              <w:spacing w:after="0"/>
              <w:rPr>
                <w:sz w:val="24"/>
                <w:szCs w:val="24"/>
                <w:color w:val="auto"/>
              </w:rPr>
            </w:pPr>
          </w:p>
        </w:tc>
        <w:tc>
          <w:tcPr>
            <w:tcW w:w="52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9"/>
              </w:rPr>
              <w:t>2590 Orchard Parkway</w:t>
            </w:r>
          </w:p>
        </w:tc>
        <w:tc>
          <w:tcPr>
            <w:tcW w:w="160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2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San Jose, CA 95131</w:t>
            </w:r>
          </w:p>
        </w:tc>
        <w:tc>
          <w:tcPr>
            <w:tcW w:w="160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00" w:type="dxa"/>
            <w:vAlign w:val="bottom"/>
          </w:tcPr>
          <w:p>
            <w:pPr>
              <w:spacing w:after="0"/>
              <w:rPr>
                <w:sz w:val="20"/>
                <w:szCs w:val="20"/>
                <w:color w:val="auto"/>
              </w:rPr>
            </w:pPr>
          </w:p>
        </w:tc>
      </w:tr>
      <w:tr>
        <w:trPr>
          <w:trHeight w:val="373"/>
        </w:trPr>
        <w:tc>
          <w:tcPr>
            <w:tcW w:w="2120" w:type="dxa"/>
            <w:vAlign w:val="bottom"/>
          </w:tcPr>
          <w:p>
            <w:pPr>
              <w:spacing w:after="0"/>
              <w:rPr>
                <w:sz w:val="24"/>
                <w:szCs w:val="24"/>
                <w:color w:val="auto"/>
              </w:rPr>
            </w:pPr>
          </w:p>
        </w:tc>
        <w:tc>
          <w:tcPr>
            <w:tcW w:w="52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9"/>
              </w:rPr>
              <w:t>(408) 542-2500</w:t>
            </w:r>
          </w:p>
        </w:tc>
        <w:tc>
          <w:tcPr>
            <w:tcW w:w="16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00" w:type="dxa"/>
            <w:vAlign w:val="bottom"/>
          </w:tcPr>
          <w:p>
            <w:pPr>
              <w:spacing w:after="0"/>
              <w:rPr>
                <w:sz w:val="20"/>
                <w:szCs w:val="20"/>
                <w:color w:val="auto"/>
              </w:rPr>
            </w:pPr>
          </w:p>
        </w:tc>
      </w:tr>
      <w:tr>
        <w:trPr>
          <w:trHeight w:val="373"/>
        </w:trPr>
        <w:tc>
          <w:tcPr>
            <w:tcW w:w="2120" w:type="dxa"/>
            <w:vAlign w:val="bottom"/>
          </w:tcPr>
          <w:p>
            <w:pPr>
              <w:spacing w:after="0"/>
              <w:rPr>
                <w:sz w:val="24"/>
                <w:szCs w:val="24"/>
                <w:color w:val="auto"/>
              </w:rPr>
            </w:pPr>
          </w:p>
        </w:tc>
        <w:tc>
          <w:tcPr>
            <w:tcW w:w="52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00" w:type="dxa"/>
            <w:vAlign w:val="bottom"/>
          </w:tcPr>
          <w:p>
            <w:pPr>
              <w:spacing w:after="0"/>
              <w:rPr>
                <w:sz w:val="20"/>
                <w:szCs w:val="20"/>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740" w:firstLine="8"/>
        <w:spacing w:after="0" w:line="386" w:lineRule="auto"/>
        <w:tabs>
          <w:tab w:leader="none" w:pos="459"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HLIT</w:t>
            </w:r>
          </w:p>
        </w:tc>
        <w:tc>
          <w:tcPr>
            <w:tcW w:w="42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1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p>
      <w:pPr>
        <w:ind w:left="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0" w:lineRule="exact"/>
        <w:rPr>
          <w:sz w:val="20"/>
          <w:szCs w:val="20"/>
          <w:color w:val="auto"/>
        </w:rPr>
      </w:pPr>
    </w:p>
    <w:p>
      <w:pPr>
        <w:spacing w:after="0" w:line="2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held its 2026 Annual Meeting of Stockholders (the “2026 Annual Meeting”) at 9:00 a.m. Pacific Time on Thursday, June 4, 2026. The Annual Meeting was a virtual meeting held over the Internet at www.virtualshareholdermeeting.com/HLIT2026. As of April 8, 2026, the record date for the 2026 Annual Meeting, there were </w:t>
      </w:r>
      <w:r>
        <w:rPr>
          <w:rFonts w:ascii="Times New Roman" w:cs="Times New Roman" w:eastAsia="Times New Roman" w:hAnsi="Times New Roman"/>
          <w:sz w:val="19"/>
          <w:szCs w:val="19"/>
          <w:color w:val="auto"/>
        </w:rPr>
        <w:t>108,477,403</w:t>
      </w:r>
      <w:r>
        <w:rPr>
          <w:rFonts w:ascii="Times New Roman" w:cs="Times New Roman" w:eastAsia="Times New Roman" w:hAnsi="Times New Roman"/>
          <w:sz w:val="18"/>
          <w:szCs w:val="18"/>
          <w:color w:val="auto"/>
        </w:rPr>
        <w:t xml:space="preserve"> shares of common stock issued and outstanding. A quorum of 94,717,006 shares of common stock was present or represented at the 2026 Annual Meeting. All matters submitted to a vote of the Company’s stockholders at the 2026 Annual Meeting were approved. Those matters were as follows:</w:t>
      </w:r>
    </w:p>
    <w:p>
      <w:pPr>
        <w:spacing w:after="0" w:line="117" w:lineRule="exact"/>
        <w:rPr>
          <w:sz w:val="20"/>
          <w:szCs w:val="20"/>
          <w:color w:val="auto"/>
        </w:rPr>
      </w:pPr>
    </w:p>
    <w:p>
      <w:pPr>
        <w:ind w:left="660" w:right="120" w:hanging="50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elected seven (7) directors to serve until the earlier of the 2027 Annual Meeting of Stockholders or until their successors are elected and duly qualified.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9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23"/>
                <w:szCs w:val="23"/>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220" w:type="dxa"/>
            <w:vAlign w:val="bottom"/>
          </w:tcPr>
          <w:p>
            <w:pPr>
              <w:spacing w:after="0"/>
              <w:rPr>
                <w:sz w:val="23"/>
                <w:szCs w:val="23"/>
                <w:color w:val="auto"/>
              </w:rPr>
            </w:pPr>
          </w:p>
        </w:tc>
        <w:tc>
          <w:tcPr>
            <w:tcW w:w="1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AGAINST</w:t>
            </w:r>
          </w:p>
        </w:tc>
        <w:tc>
          <w:tcPr>
            <w:tcW w:w="220" w:type="dxa"/>
            <w:vAlign w:val="bottom"/>
          </w:tcPr>
          <w:p>
            <w:pPr>
              <w:spacing w:after="0"/>
              <w:rPr>
                <w:sz w:val="23"/>
                <w:szCs w:val="23"/>
                <w:color w:val="auto"/>
              </w:rPr>
            </w:pPr>
          </w:p>
        </w:tc>
        <w:tc>
          <w:tcPr>
            <w:tcW w:w="1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ABSTAIN</w:t>
            </w:r>
          </w:p>
        </w:tc>
        <w:tc>
          <w:tcPr>
            <w:tcW w:w="220" w:type="dxa"/>
            <w:vAlign w:val="bottom"/>
          </w:tcPr>
          <w:p>
            <w:pPr>
              <w:spacing w:after="0"/>
              <w:rPr>
                <w:sz w:val="23"/>
                <w:szCs w:val="23"/>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BROKER NON-VOTE</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Nimrod Ben-Natan</w:t>
            </w:r>
          </w:p>
        </w:tc>
        <w:tc>
          <w:tcPr>
            <w:tcW w:w="17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79,947,905</w:t>
            </w:r>
          </w:p>
        </w:tc>
        <w:tc>
          <w:tcPr>
            <w:tcW w:w="21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252,519</w:t>
            </w:r>
          </w:p>
        </w:tc>
        <w:tc>
          <w:tcPr>
            <w:tcW w:w="19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61,332</w:t>
            </w:r>
          </w:p>
        </w:tc>
        <w:tc>
          <w:tcPr>
            <w:tcW w:w="24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14,455,250</w:t>
            </w:r>
          </w:p>
        </w:tc>
      </w:tr>
      <w:tr>
        <w:trPr>
          <w:trHeight w:val="23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Patrick Gallagher</w:t>
            </w:r>
          </w:p>
        </w:tc>
        <w:tc>
          <w:tcPr>
            <w:tcW w:w="17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78,278,942</w:t>
            </w:r>
          </w:p>
        </w:tc>
        <w:tc>
          <w:tcPr>
            <w:tcW w:w="21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1,884,055</w:t>
            </w:r>
          </w:p>
        </w:tc>
        <w:tc>
          <w:tcPr>
            <w:tcW w:w="19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98,759</w:t>
            </w:r>
          </w:p>
        </w:tc>
        <w:tc>
          <w:tcPr>
            <w:tcW w:w="24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14,455,250</w:t>
            </w:r>
          </w:p>
        </w:tc>
      </w:tr>
      <w:tr>
        <w:trPr>
          <w:trHeight w:val="24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Deborah L. Clifford</w:t>
            </w:r>
          </w:p>
        </w:tc>
        <w:tc>
          <w:tcPr>
            <w:tcW w:w="17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79,634,468</w:t>
            </w:r>
          </w:p>
        </w:tc>
        <w:tc>
          <w:tcPr>
            <w:tcW w:w="21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519,207</w:t>
            </w:r>
          </w:p>
        </w:tc>
        <w:tc>
          <w:tcPr>
            <w:tcW w:w="19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108,081</w:t>
            </w:r>
          </w:p>
        </w:tc>
        <w:tc>
          <w:tcPr>
            <w:tcW w:w="24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14,455,250</w:t>
            </w:r>
          </w:p>
        </w:tc>
      </w:tr>
      <w:tr>
        <w:trPr>
          <w:trHeight w:val="23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Stephanie Copeland</w:t>
            </w:r>
          </w:p>
        </w:tc>
        <w:tc>
          <w:tcPr>
            <w:tcW w:w="17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79,825,702</w:t>
            </w:r>
          </w:p>
        </w:tc>
        <w:tc>
          <w:tcPr>
            <w:tcW w:w="21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331,988</w:t>
            </w:r>
          </w:p>
        </w:tc>
        <w:tc>
          <w:tcPr>
            <w:tcW w:w="19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104,066</w:t>
            </w:r>
          </w:p>
        </w:tc>
        <w:tc>
          <w:tcPr>
            <w:tcW w:w="24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14,455,250</w:t>
            </w:r>
          </w:p>
        </w:tc>
      </w:tr>
      <w:tr>
        <w:trPr>
          <w:trHeight w:val="24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Dana Crandall</w:t>
            </w:r>
          </w:p>
        </w:tc>
        <w:tc>
          <w:tcPr>
            <w:tcW w:w="17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79,760,026</w:t>
            </w:r>
          </w:p>
        </w:tc>
        <w:tc>
          <w:tcPr>
            <w:tcW w:w="21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379,598</w:t>
            </w:r>
          </w:p>
        </w:tc>
        <w:tc>
          <w:tcPr>
            <w:tcW w:w="19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122,132</w:t>
            </w:r>
          </w:p>
        </w:tc>
        <w:tc>
          <w:tcPr>
            <w:tcW w:w="24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14,455,250</w:t>
            </w:r>
          </w:p>
        </w:tc>
      </w:tr>
      <w:tr>
        <w:trPr>
          <w:trHeight w:val="23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Neel Dev</w:t>
            </w:r>
          </w:p>
        </w:tc>
        <w:tc>
          <w:tcPr>
            <w:tcW w:w="17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79,920,042</w:t>
            </w:r>
          </w:p>
        </w:tc>
        <w:tc>
          <w:tcPr>
            <w:tcW w:w="21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259,068</w:t>
            </w:r>
          </w:p>
        </w:tc>
        <w:tc>
          <w:tcPr>
            <w:tcW w:w="19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82,646</w:t>
            </w:r>
          </w:p>
        </w:tc>
        <w:tc>
          <w:tcPr>
            <w:tcW w:w="24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14,455,250</w:t>
            </w:r>
          </w:p>
        </w:tc>
      </w:tr>
      <w:tr>
        <w:trPr>
          <w:trHeight w:val="24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Krall</w:t>
            </w:r>
          </w:p>
        </w:tc>
        <w:tc>
          <w:tcPr>
            <w:tcW w:w="17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79,759,654</w:t>
            </w:r>
          </w:p>
        </w:tc>
        <w:tc>
          <w:tcPr>
            <w:tcW w:w="21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412,531</w:t>
            </w:r>
          </w:p>
        </w:tc>
        <w:tc>
          <w:tcPr>
            <w:tcW w:w="19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89,571</w:t>
            </w:r>
          </w:p>
        </w:tc>
        <w:tc>
          <w:tcPr>
            <w:tcW w:w="24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14,455,250</w:t>
            </w:r>
          </w:p>
        </w:tc>
      </w:tr>
    </w:tbl>
    <w:p>
      <w:pPr>
        <w:spacing w:after="0" w:line="346" w:lineRule="exact"/>
        <w:rPr>
          <w:sz w:val="20"/>
          <w:szCs w:val="20"/>
          <w:color w:val="auto"/>
        </w:rPr>
      </w:pPr>
    </w:p>
    <w:p>
      <w:pPr>
        <w:ind w:left="660" w:hanging="50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approved, on an advisory basis, the compensation of the named executive officers.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480" w:type="dxa"/>
            <w:vAlign w:val="bottom"/>
          </w:tcPr>
          <w:p>
            <w:pPr>
              <w:spacing w:after="0"/>
              <w:rPr>
                <w:sz w:val="23"/>
                <w:szCs w:val="23"/>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AGAINST</w:t>
            </w:r>
          </w:p>
        </w:tc>
        <w:tc>
          <w:tcPr>
            <w:tcW w:w="460" w:type="dxa"/>
            <w:vAlign w:val="bottom"/>
          </w:tcPr>
          <w:p>
            <w:pPr>
              <w:spacing w:after="0"/>
              <w:rPr>
                <w:sz w:val="23"/>
                <w:szCs w:val="23"/>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460" w:type="dxa"/>
            <w:vAlign w:val="bottom"/>
          </w:tcPr>
          <w:p>
            <w:pPr>
              <w:spacing w:after="0"/>
              <w:rPr>
                <w:sz w:val="23"/>
                <w:szCs w:val="23"/>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BROKER NON-VOTE</w:t>
            </w:r>
          </w:p>
        </w:tc>
      </w:tr>
      <w:tr>
        <w:trPr>
          <w:trHeight w:val="216"/>
        </w:trPr>
        <w:tc>
          <w:tcPr>
            <w:tcW w:w="24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77,824,399</w:t>
            </w:r>
          </w:p>
        </w:tc>
        <w:tc>
          <w:tcPr>
            <w:tcW w:w="29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2,259,461</w:t>
            </w:r>
          </w:p>
        </w:tc>
        <w:tc>
          <w:tcPr>
            <w:tcW w:w="29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177,896</w:t>
            </w:r>
          </w:p>
        </w:tc>
        <w:tc>
          <w:tcPr>
            <w:tcW w:w="29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14,455,250</w:t>
            </w:r>
          </w:p>
        </w:tc>
      </w:tr>
    </w:tbl>
    <w:p>
      <w:pPr>
        <w:spacing w:after="0" w:line="333" w:lineRule="exact"/>
        <w:rPr>
          <w:sz w:val="20"/>
          <w:szCs w:val="20"/>
          <w:color w:val="auto"/>
        </w:rPr>
      </w:pPr>
    </w:p>
    <w:p>
      <w:pPr>
        <w:ind w:left="660" w:hanging="50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approved, on an advisory basis, holding future stockholder advisory votes on named executive officer compensation every one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 YEAR</w:t>
            </w:r>
          </w:p>
        </w:tc>
        <w:tc>
          <w:tcPr>
            <w:tcW w:w="400" w:type="dxa"/>
            <w:vAlign w:val="bottom"/>
          </w:tcPr>
          <w:p>
            <w:pPr>
              <w:spacing w:after="0"/>
              <w:rPr>
                <w:sz w:val="23"/>
                <w:szCs w:val="23"/>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 YEARS</w:t>
            </w:r>
          </w:p>
        </w:tc>
        <w:tc>
          <w:tcPr>
            <w:tcW w:w="420" w:type="dxa"/>
            <w:vAlign w:val="bottom"/>
          </w:tcPr>
          <w:p>
            <w:pPr>
              <w:spacing w:after="0"/>
              <w:rPr>
                <w:sz w:val="23"/>
                <w:szCs w:val="23"/>
                <w:color w:val="auto"/>
              </w:rPr>
            </w:pPr>
          </w:p>
        </w:tc>
        <w:tc>
          <w:tcPr>
            <w:tcW w:w="1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 YEARS</w:t>
            </w:r>
          </w:p>
        </w:tc>
        <w:tc>
          <w:tcPr>
            <w:tcW w:w="260" w:type="dxa"/>
            <w:vAlign w:val="bottom"/>
          </w:tcPr>
          <w:p>
            <w:pPr>
              <w:spacing w:after="0"/>
              <w:rPr>
                <w:sz w:val="23"/>
                <w:szCs w:val="23"/>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320" w:type="dxa"/>
            <w:vAlign w:val="bottom"/>
          </w:tcPr>
          <w:p>
            <w:pPr>
              <w:spacing w:after="0"/>
              <w:rPr>
                <w:sz w:val="23"/>
                <w:szCs w:val="23"/>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BROKER NON-VOTE</w:t>
            </w:r>
          </w:p>
        </w:tc>
      </w:tr>
      <w:tr>
        <w:trPr>
          <w:trHeight w:val="216"/>
        </w:trPr>
        <w:tc>
          <w:tcPr>
            <w:tcW w:w="18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75,781,101</w:t>
            </w:r>
          </w:p>
        </w:tc>
        <w:tc>
          <w:tcPr>
            <w:tcW w:w="232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482,805</w:t>
            </w:r>
          </w:p>
        </w:tc>
        <w:tc>
          <w:tcPr>
            <w:tcW w:w="2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3,828,076</w:t>
            </w:r>
          </w:p>
        </w:tc>
        <w:tc>
          <w:tcPr>
            <w:tcW w:w="21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169,774</w:t>
            </w:r>
          </w:p>
        </w:tc>
        <w:tc>
          <w:tcPr>
            <w:tcW w:w="25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14,455,250</w:t>
            </w:r>
          </w:p>
        </w:tc>
      </w:tr>
    </w:tbl>
    <w:p>
      <w:pPr>
        <w:spacing w:after="0" w:line="346" w:lineRule="exact"/>
        <w:rPr>
          <w:sz w:val="20"/>
          <w:szCs w:val="20"/>
          <w:color w:val="auto"/>
        </w:rPr>
      </w:pPr>
    </w:p>
    <w:p>
      <w:pPr>
        <w:ind w:left="660" w:right="160" w:hanging="50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approved an amendment to the Company’s 2025 Equity Incentive Plan to increase the number of shares of common stock reserved for issuance thereunder by 3,000,000 shares.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480" w:type="dxa"/>
            <w:vAlign w:val="bottom"/>
          </w:tcPr>
          <w:p>
            <w:pPr>
              <w:spacing w:after="0"/>
              <w:rPr>
                <w:sz w:val="23"/>
                <w:szCs w:val="23"/>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AGAINST</w:t>
            </w:r>
          </w:p>
        </w:tc>
        <w:tc>
          <w:tcPr>
            <w:tcW w:w="460" w:type="dxa"/>
            <w:vAlign w:val="bottom"/>
          </w:tcPr>
          <w:p>
            <w:pPr>
              <w:spacing w:after="0"/>
              <w:rPr>
                <w:sz w:val="23"/>
                <w:szCs w:val="23"/>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460" w:type="dxa"/>
            <w:vAlign w:val="bottom"/>
          </w:tcPr>
          <w:p>
            <w:pPr>
              <w:spacing w:after="0"/>
              <w:rPr>
                <w:sz w:val="23"/>
                <w:szCs w:val="23"/>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BROKER NON-VOTE</w:t>
            </w:r>
          </w:p>
        </w:tc>
      </w:tr>
      <w:tr>
        <w:trPr>
          <w:trHeight w:val="216"/>
        </w:trPr>
        <w:tc>
          <w:tcPr>
            <w:tcW w:w="24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75,846,460</w:t>
            </w:r>
          </w:p>
        </w:tc>
        <w:tc>
          <w:tcPr>
            <w:tcW w:w="29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4,020,318</w:t>
            </w:r>
          </w:p>
        </w:tc>
        <w:tc>
          <w:tcPr>
            <w:tcW w:w="29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394,978</w:t>
            </w:r>
          </w:p>
        </w:tc>
        <w:tc>
          <w:tcPr>
            <w:tcW w:w="29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14,455,250</w:t>
            </w:r>
          </w:p>
        </w:tc>
      </w:tr>
    </w:tbl>
    <w:p>
      <w:pPr>
        <w:spacing w:after="0" w:line="346" w:lineRule="exact"/>
        <w:rPr>
          <w:sz w:val="20"/>
          <w:szCs w:val="20"/>
          <w:color w:val="auto"/>
        </w:rPr>
      </w:pPr>
    </w:p>
    <w:p>
      <w:pPr>
        <w:ind w:left="660" w:right="180" w:hanging="50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ratified the appointment of Ernst &amp; Young LLP as the independent registered public accounting firm of the Company for the fiscal year ending December 31,2026.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260" w:type="dxa"/>
            <w:vAlign w:val="bottom"/>
          </w:tcPr>
          <w:p>
            <w:pPr>
              <w:spacing w:after="0"/>
              <w:rPr>
                <w:sz w:val="23"/>
                <w:szCs w:val="23"/>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AGAINST</w:t>
            </w:r>
          </w:p>
        </w:tc>
        <w:tc>
          <w:tcPr>
            <w:tcW w:w="280" w:type="dxa"/>
            <w:vAlign w:val="bottom"/>
          </w:tcPr>
          <w:p>
            <w:pPr>
              <w:spacing w:after="0"/>
              <w:rPr>
                <w:sz w:val="23"/>
                <w:szCs w:val="23"/>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5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93,911,376</w:t>
            </w:r>
          </w:p>
        </w:tc>
        <w:tc>
          <w:tcPr>
            <w:tcW w:w="3820" w:type="dxa"/>
            <w:vAlign w:val="bottom"/>
            <w:gridSpan w:val="2"/>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216,061</w:t>
            </w:r>
          </w:p>
        </w:tc>
        <w:tc>
          <w:tcPr>
            <w:tcW w:w="3840" w:type="dxa"/>
            <w:vAlign w:val="bottom"/>
            <w:gridSpan w:val="2"/>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589,569</w:t>
            </w:r>
          </w:p>
        </w:tc>
      </w:tr>
      <w:tr>
        <w:trPr>
          <w:trHeight w:val="1600"/>
        </w:trPr>
        <w:tc>
          <w:tcPr>
            <w:tcW w:w="3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670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HARMONIC INC.</w:t>
            </w:r>
          </w:p>
        </w:tc>
      </w:tr>
      <w:tr>
        <w:trPr>
          <w:trHeight w:val="979"/>
        </w:trPr>
        <w:tc>
          <w:tcPr>
            <w:tcW w:w="3240" w:type="dxa"/>
            <w:vAlign w:val="bottom"/>
          </w:tcPr>
          <w:p>
            <w:pPr>
              <w:spacing w:after="0"/>
              <w:rPr>
                <w:sz w:val="24"/>
                <w:szCs w:val="24"/>
                <w:color w:val="auto"/>
              </w:rPr>
            </w:pP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Timothy C. Chu</w:t>
            </w:r>
          </w:p>
        </w:tc>
      </w:tr>
      <w:tr>
        <w:trPr>
          <w:trHeight w:val="243"/>
        </w:trPr>
        <w:tc>
          <w:tcPr>
            <w:tcW w:w="32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Timothy C. Chu</w:t>
            </w:r>
          </w:p>
        </w:tc>
      </w:tr>
    </w:tbl>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General Counsel, SVP HR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2026-06-05T15:16:06Z</dcterms:created>
  <dcterms:modified xsi:type="dcterms:W3CDTF">2026-06-05T15:16:06Z</dcterms:modified>
</cp:coreProperties>
</file>